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w:t>
      </w:r>
      <w:r>
        <w:rPr>
          <w:rFonts w:hint="eastAsia" w:ascii="微软雅黑" w:hAnsi="微软雅黑" w:eastAsia="微软雅黑" w:cs="微软雅黑"/>
          <w:b/>
          <w:sz w:val="52"/>
          <w:szCs w:val="52"/>
          <w:highlight w:val="none"/>
          <w:lang w:val="en-US" w:eastAsia="zh-CN"/>
        </w:rPr>
        <w:t>遴选</w:t>
      </w:r>
      <w:r>
        <w:rPr>
          <w:rFonts w:hint="eastAsia" w:ascii="微软雅黑" w:hAnsi="微软雅黑" w:eastAsia="微软雅黑" w:cs="微软雅黑"/>
          <w:b/>
          <w:sz w:val="52"/>
          <w:szCs w:val="52"/>
          <w:highlight w:val="none"/>
        </w:rPr>
        <w:t>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val="en-US"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LX</w:t>
      </w:r>
      <w:r>
        <w:rPr>
          <w:rFonts w:hint="eastAsia" w:ascii="宋体" w:hAnsi="宋体"/>
          <w:b/>
          <w:bCs/>
          <w:sz w:val="36"/>
          <w:szCs w:val="36"/>
          <w:highlight w:val="none"/>
        </w:rPr>
        <w:t>00</w:t>
      </w:r>
      <w:r>
        <w:rPr>
          <w:rFonts w:hint="eastAsia" w:ascii="宋体" w:hAnsi="宋体"/>
          <w:b/>
          <w:bCs/>
          <w:sz w:val="36"/>
          <w:szCs w:val="36"/>
          <w:highlight w:val="none"/>
          <w:lang w:val="en-US" w:eastAsia="zh-CN"/>
        </w:rPr>
        <w:t>1</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中山市中医院“港澳药械通”临床急需药械供应商遴选项目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6</w:t>
      </w:r>
      <w:r>
        <w:rPr>
          <w:rFonts w:hint="eastAsia" w:ascii="宋体" w:hAnsi="宋体"/>
          <w:sz w:val="30"/>
          <w:szCs w:val="30"/>
          <w:highlight w:val="none"/>
        </w:rPr>
        <w:t>月</w:t>
      </w:r>
      <w:r>
        <w:rPr>
          <w:rFonts w:hint="eastAsia" w:ascii="宋体" w:hAnsi="宋体"/>
          <w:sz w:val="30"/>
          <w:szCs w:val="30"/>
          <w:highlight w:val="none"/>
          <w:lang w:val="en-US" w:eastAsia="zh-CN"/>
        </w:rPr>
        <w:t>7日</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w:t>
      </w:r>
      <w:r>
        <w:rPr>
          <w:rFonts w:hint="eastAsia" w:ascii="宋体" w:hAnsi="宋体"/>
          <w:b/>
          <w:sz w:val="44"/>
          <w:szCs w:val="44"/>
          <w:highlight w:val="none"/>
          <w:lang w:val="en-US" w:eastAsia="zh-CN"/>
        </w:rPr>
        <w:t>遴选</w:t>
      </w:r>
      <w:r>
        <w:rPr>
          <w:rFonts w:hint="eastAsia" w:ascii="宋体" w:hAnsi="宋体"/>
          <w:b/>
          <w:sz w:val="44"/>
          <w:szCs w:val="44"/>
          <w:highlight w:val="none"/>
        </w:rPr>
        <w:t>文件目录</w:t>
      </w:r>
    </w:p>
    <w:p w14:paraId="6931885C">
      <w:pPr>
        <w:pStyle w:val="2"/>
        <w:rPr>
          <w:rFonts w:hint="eastAsia"/>
          <w:highlight w:val="none"/>
        </w:rPr>
      </w:pPr>
    </w:p>
    <w:p w14:paraId="4D7D3D45">
      <w:pPr>
        <w:spacing w:line="360" w:lineRule="auto"/>
        <w:rPr>
          <w:rFonts w:hint="eastAsia" w:ascii="宋体" w:hAnsi="宋体"/>
          <w:b/>
          <w:sz w:val="28"/>
          <w:szCs w:val="28"/>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遴选</w:t>
      </w:r>
      <w:r>
        <w:rPr>
          <w:rFonts w:hint="eastAsia" w:ascii="宋体" w:hAnsi="宋体"/>
          <w:b/>
          <w:sz w:val="28"/>
          <w:szCs w:val="28"/>
          <w:highlight w:val="none"/>
        </w:rPr>
        <w:t>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：供应商资格信用承诺函</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业绩情况一览表</w:t>
      </w:r>
    </w:p>
    <w:p w14:paraId="31323238">
      <w:pPr>
        <w:spacing w:line="360" w:lineRule="auto"/>
        <w:ind w:firstLine="560" w:firstLineChars="200"/>
        <w:rPr>
          <w:rFonts w:hint="eastAsia" w:ascii="宋体" w:hAnsi="宋体" w:eastAsia="宋体" w:cs="Times New Roman"/>
          <w:b/>
          <w:sz w:val="28"/>
          <w:szCs w:val="28"/>
          <w:highlight w:val="none"/>
        </w:rPr>
      </w:pPr>
    </w:p>
    <w:p w14:paraId="0B984271">
      <w:pPr>
        <w:pStyle w:val="10"/>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3"/>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3"/>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3"/>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3"/>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3"/>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3"/>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43"/>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3"/>
        <w:spacing w:line="360" w:lineRule="auto"/>
        <w:ind w:firstLine="480" w:firstLineChars="200"/>
        <w:rPr>
          <w:rFonts w:hint="eastAsia" w:ascii="Times New Roman" w:hAnsi="Times New Roman" w:cs="Tahoma"/>
          <w:color w:val="000000"/>
          <w:kern w:val="28"/>
          <w:szCs w:val="24"/>
          <w:highlight w:val="none"/>
        </w:rPr>
      </w:pPr>
    </w:p>
    <w:p w14:paraId="387AA35D">
      <w:pPr>
        <w:pStyle w:val="43"/>
        <w:spacing w:line="360" w:lineRule="auto"/>
        <w:ind w:firstLine="480" w:firstLineChars="200"/>
        <w:rPr>
          <w:rFonts w:hint="eastAsia" w:ascii="Times New Roman" w:hAnsi="Times New Roman" w:cs="Tahoma"/>
          <w:color w:val="000000"/>
          <w:kern w:val="28"/>
          <w:szCs w:val="24"/>
          <w:highlight w:val="none"/>
        </w:rPr>
      </w:pPr>
    </w:p>
    <w:p w14:paraId="344183BF">
      <w:pPr>
        <w:pStyle w:val="43"/>
        <w:spacing w:line="360" w:lineRule="auto"/>
        <w:ind w:firstLine="480" w:firstLineChars="200"/>
        <w:rPr>
          <w:rFonts w:hint="eastAsia" w:ascii="Times New Roman" w:hAnsi="Times New Roman" w:cs="Tahoma"/>
          <w:color w:val="000000"/>
          <w:kern w:val="28"/>
          <w:szCs w:val="24"/>
          <w:highlight w:val="none"/>
        </w:rPr>
      </w:pPr>
    </w:p>
    <w:p w14:paraId="7111C1AA">
      <w:pPr>
        <w:pStyle w:val="43"/>
        <w:spacing w:line="360" w:lineRule="auto"/>
        <w:ind w:firstLine="480" w:firstLineChars="200"/>
        <w:rPr>
          <w:rFonts w:hint="eastAsia" w:ascii="Times New Roman" w:hAnsi="Times New Roman" w:cs="Tahoma"/>
          <w:color w:val="000000"/>
          <w:kern w:val="28"/>
          <w:szCs w:val="24"/>
          <w:highlight w:val="none"/>
        </w:rPr>
      </w:pPr>
    </w:p>
    <w:p w14:paraId="4DAE84A6">
      <w:pPr>
        <w:pStyle w:val="43"/>
        <w:spacing w:line="360" w:lineRule="auto"/>
        <w:ind w:firstLine="480" w:firstLineChars="200"/>
        <w:rPr>
          <w:rFonts w:hint="eastAsia" w:ascii="Times New Roman" w:hAnsi="Times New Roman" w:cs="Tahoma"/>
          <w:color w:val="000000"/>
          <w:kern w:val="28"/>
          <w:szCs w:val="24"/>
          <w:highlight w:val="none"/>
        </w:rPr>
      </w:pPr>
    </w:p>
    <w:p w14:paraId="4D604AD8">
      <w:pPr>
        <w:pStyle w:val="43"/>
        <w:spacing w:line="360" w:lineRule="auto"/>
        <w:ind w:firstLine="480" w:firstLineChars="200"/>
        <w:rPr>
          <w:rFonts w:hint="eastAsia" w:ascii="Times New Roman" w:hAnsi="Times New Roman" w:cs="Tahoma"/>
          <w:color w:val="000000"/>
          <w:kern w:val="28"/>
          <w:szCs w:val="24"/>
          <w:highlight w:val="none"/>
        </w:rPr>
      </w:pPr>
    </w:p>
    <w:p w14:paraId="01624FDA">
      <w:pPr>
        <w:pStyle w:val="43"/>
        <w:spacing w:line="360" w:lineRule="auto"/>
        <w:ind w:firstLine="480" w:firstLineChars="200"/>
        <w:rPr>
          <w:rFonts w:hint="eastAsia" w:ascii="Times New Roman" w:hAnsi="Times New Roman" w:cs="Tahoma"/>
          <w:color w:val="000000"/>
          <w:kern w:val="28"/>
          <w:szCs w:val="24"/>
          <w:highlight w:val="none"/>
        </w:rPr>
      </w:pPr>
    </w:p>
    <w:p w14:paraId="22030999">
      <w:pPr>
        <w:spacing w:after="240" w:line="460" w:lineRule="exact"/>
        <w:jc w:val="center"/>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22"/>
        <w:tblW w:w="917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1840"/>
        <w:gridCol w:w="6540"/>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5"/>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380" w:type="dxa"/>
            <w:gridSpan w:val="2"/>
            <w:noWrap w:val="0"/>
            <w:vAlign w:val="center"/>
          </w:tcPr>
          <w:p w14:paraId="0C0586F4">
            <w:pPr>
              <w:pStyle w:val="45"/>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5"/>
              <w:numPr>
                <w:ilvl w:val="0"/>
                <w:numId w:val="1"/>
              </w:numPr>
              <w:jc w:val="center"/>
              <w:rPr>
                <w:szCs w:val="21"/>
                <w:highlight w:val="none"/>
              </w:rPr>
            </w:pPr>
          </w:p>
        </w:tc>
        <w:tc>
          <w:tcPr>
            <w:tcW w:w="1840" w:type="dxa"/>
            <w:noWrap w:val="0"/>
            <w:vAlign w:val="center"/>
          </w:tcPr>
          <w:p w14:paraId="1D92F54D">
            <w:pPr>
              <w:pStyle w:val="45"/>
              <w:spacing w:line="400" w:lineRule="exact"/>
              <w:ind w:left="102" w:right="206"/>
              <w:jc w:val="center"/>
              <w:rPr>
                <w:szCs w:val="21"/>
                <w:highlight w:val="none"/>
              </w:rPr>
            </w:pPr>
            <w:r>
              <w:rPr>
                <w:rFonts w:hint="eastAsia"/>
                <w:szCs w:val="21"/>
                <w:highlight w:val="none"/>
              </w:rPr>
              <w:t>具有独立承担民事责任的能力</w:t>
            </w:r>
          </w:p>
        </w:tc>
        <w:tc>
          <w:tcPr>
            <w:tcW w:w="6540" w:type="dxa"/>
            <w:noWrap w:val="0"/>
            <w:vAlign w:val="center"/>
          </w:tcPr>
          <w:p w14:paraId="1151C5D1">
            <w:pPr>
              <w:pStyle w:val="45"/>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5"/>
              <w:numPr>
                <w:ilvl w:val="0"/>
                <w:numId w:val="1"/>
              </w:numPr>
              <w:jc w:val="center"/>
              <w:rPr>
                <w:szCs w:val="21"/>
                <w:highlight w:val="none"/>
              </w:rPr>
            </w:pPr>
          </w:p>
        </w:tc>
        <w:tc>
          <w:tcPr>
            <w:tcW w:w="1840" w:type="dxa"/>
            <w:noWrap w:val="0"/>
            <w:vAlign w:val="center"/>
          </w:tcPr>
          <w:p w14:paraId="458B77DB">
            <w:pPr>
              <w:pStyle w:val="45"/>
              <w:spacing w:line="400" w:lineRule="exact"/>
              <w:ind w:left="102"/>
              <w:jc w:val="center"/>
              <w:rPr>
                <w:szCs w:val="21"/>
                <w:highlight w:val="none"/>
              </w:rPr>
            </w:pPr>
            <w:r>
              <w:rPr>
                <w:rFonts w:hint="eastAsia"/>
                <w:szCs w:val="21"/>
                <w:highlight w:val="none"/>
              </w:rPr>
              <w:t>有依法缴纳税收和社会保障资金的良好记录</w:t>
            </w:r>
          </w:p>
        </w:tc>
        <w:tc>
          <w:tcPr>
            <w:tcW w:w="6540" w:type="dxa"/>
            <w:noWrap w:val="0"/>
            <w:vAlign w:val="center"/>
          </w:tcPr>
          <w:p w14:paraId="6E37C024">
            <w:pPr>
              <w:pStyle w:val="45"/>
              <w:spacing w:line="360" w:lineRule="exact"/>
              <w:ind w:left="102" w:right="96"/>
              <w:rPr>
                <w:rFonts w:hint="eastAsia"/>
                <w:bCs/>
                <w:szCs w:val="21"/>
                <w:highlight w:val="none"/>
              </w:rPr>
            </w:pPr>
            <w:r>
              <w:rPr>
                <w:rFonts w:hint="eastAsia"/>
                <w:bCs/>
                <w:szCs w:val="21"/>
                <w:highlight w:val="none"/>
              </w:rPr>
              <w:t>提供《供应商资格信用承诺函》，或提供响应截止日前12个月内任意1个月依法缴纳税收和社会保障资金的相关材料。若响应供应商同时提供资格信用承诺函和证明材料的，资格审查时以证明材料为准。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五</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5"/>
              <w:numPr>
                <w:ilvl w:val="0"/>
                <w:numId w:val="1"/>
              </w:numPr>
              <w:jc w:val="center"/>
              <w:rPr>
                <w:szCs w:val="21"/>
                <w:highlight w:val="none"/>
              </w:rPr>
            </w:pPr>
          </w:p>
        </w:tc>
        <w:tc>
          <w:tcPr>
            <w:tcW w:w="1840" w:type="dxa"/>
            <w:noWrap w:val="0"/>
            <w:vAlign w:val="center"/>
          </w:tcPr>
          <w:p w14:paraId="233D9FCB">
            <w:pPr>
              <w:pStyle w:val="45"/>
              <w:spacing w:line="400" w:lineRule="exact"/>
              <w:ind w:left="102" w:right="86"/>
              <w:jc w:val="center"/>
              <w:rPr>
                <w:szCs w:val="21"/>
                <w:highlight w:val="none"/>
              </w:rPr>
            </w:pPr>
            <w:r>
              <w:rPr>
                <w:rFonts w:hint="eastAsia"/>
                <w:szCs w:val="21"/>
                <w:highlight w:val="none"/>
              </w:rPr>
              <w:t>具有良好的商业信誉和健全的财务会计制度</w:t>
            </w:r>
          </w:p>
        </w:tc>
        <w:tc>
          <w:tcPr>
            <w:tcW w:w="6540" w:type="dxa"/>
            <w:noWrap w:val="0"/>
            <w:vAlign w:val="center"/>
          </w:tcPr>
          <w:p w14:paraId="594CF854">
            <w:pPr>
              <w:pStyle w:val="45"/>
              <w:spacing w:line="360" w:lineRule="exact"/>
              <w:ind w:right="96"/>
              <w:rPr>
                <w:rFonts w:hint="eastAsia" w:eastAsia="宋体"/>
                <w:bCs/>
                <w:szCs w:val="21"/>
                <w:highlight w:val="none"/>
                <w:lang w:eastAsia="zh-CN"/>
              </w:rPr>
            </w:pPr>
            <w:r>
              <w:rPr>
                <w:rFonts w:hint="eastAsia"/>
                <w:bCs/>
                <w:szCs w:val="21"/>
                <w:highlight w:val="none"/>
              </w:rPr>
              <w:t>提供《供应商资格信用承诺函》，或提供响应截止日前3年内任意1年度的财务报告或基本开户银行出具的资信证明。若响应供应商同时提供资格信用承诺函和证明材料的，资格审查时以证明材料为准。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五</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5"/>
              <w:numPr>
                <w:ilvl w:val="0"/>
                <w:numId w:val="1"/>
              </w:numPr>
              <w:jc w:val="center"/>
              <w:rPr>
                <w:szCs w:val="21"/>
                <w:highlight w:val="none"/>
              </w:rPr>
            </w:pPr>
          </w:p>
        </w:tc>
        <w:tc>
          <w:tcPr>
            <w:tcW w:w="1840" w:type="dxa"/>
            <w:noWrap w:val="0"/>
            <w:vAlign w:val="center"/>
          </w:tcPr>
          <w:p w14:paraId="10195A43">
            <w:pPr>
              <w:pStyle w:val="45"/>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540"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六</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5"/>
              <w:numPr>
                <w:ilvl w:val="0"/>
                <w:numId w:val="1"/>
              </w:numPr>
              <w:jc w:val="center"/>
              <w:rPr>
                <w:szCs w:val="21"/>
                <w:highlight w:val="none"/>
              </w:rPr>
            </w:pPr>
          </w:p>
        </w:tc>
        <w:tc>
          <w:tcPr>
            <w:tcW w:w="1840" w:type="dxa"/>
            <w:noWrap w:val="0"/>
            <w:vAlign w:val="center"/>
          </w:tcPr>
          <w:p w14:paraId="00EA4829">
            <w:pPr>
              <w:pStyle w:val="45"/>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540" w:type="dxa"/>
            <w:noWrap w:val="0"/>
            <w:vAlign w:val="center"/>
          </w:tcPr>
          <w:p w14:paraId="1BFA3778">
            <w:pPr>
              <w:pStyle w:val="45"/>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w:t>
            </w:r>
            <w:bookmarkStart w:id="5" w:name="_GoBack"/>
            <w:bookmarkEnd w:id="5"/>
            <w:r>
              <w:rPr>
                <w:rFonts w:hint="eastAsia" w:cs="Tahoma"/>
                <w:b/>
                <w:bCs/>
                <w:color w:val="000000"/>
                <w:kern w:val="28"/>
                <w:szCs w:val="24"/>
                <w:highlight w:val="none"/>
              </w:rPr>
              <w:t>文件格式</w:t>
            </w:r>
            <w:r>
              <w:rPr>
                <w:rFonts w:hint="eastAsia" w:cs="Tahoma"/>
                <w:b/>
                <w:bCs/>
                <w:color w:val="000000"/>
                <w:kern w:val="28"/>
                <w:szCs w:val="24"/>
                <w:highlight w:val="none"/>
                <w:lang w:val="en-US" w:eastAsia="zh-CN"/>
              </w:rPr>
              <w:t>七</w:t>
            </w:r>
            <w:r>
              <w:rPr>
                <w:rFonts w:hint="eastAsia" w:cs="Tahoma"/>
                <w:b/>
                <w:bCs/>
                <w:color w:val="000000"/>
                <w:kern w:val="28"/>
                <w:szCs w:val="24"/>
                <w:highlight w:val="none"/>
              </w:rPr>
              <w:t>）</w:t>
            </w:r>
          </w:p>
        </w:tc>
      </w:tr>
      <w:tr w14:paraId="01A4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460FB3FE">
            <w:pPr>
              <w:pStyle w:val="45"/>
              <w:numPr>
                <w:ilvl w:val="0"/>
                <w:numId w:val="1"/>
              </w:numPr>
              <w:jc w:val="center"/>
              <w:rPr>
                <w:szCs w:val="21"/>
                <w:highlight w:val="none"/>
              </w:rPr>
            </w:pPr>
          </w:p>
        </w:tc>
        <w:tc>
          <w:tcPr>
            <w:tcW w:w="1840" w:type="dxa"/>
            <w:noWrap w:val="0"/>
            <w:vAlign w:val="center"/>
          </w:tcPr>
          <w:p w14:paraId="047D2CEA">
            <w:pPr>
              <w:pStyle w:val="45"/>
              <w:spacing w:line="400" w:lineRule="exact"/>
              <w:ind w:left="102" w:leftChars="0" w:right="86" w:rightChars="0"/>
              <w:jc w:val="center"/>
              <w:rPr>
                <w:rFonts w:hint="eastAsia"/>
                <w:szCs w:val="21"/>
                <w:highlight w:val="none"/>
              </w:rPr>
            </w:pPr>
            <w:r>
              <w:rPr>
                <w:rFonts w:hint="eastAsia" w:ascii="Times New Roman" w:hAnsi="Times New Roman" w:eastAsia="宋体" w:cs="Times New Roman"/>
                <w:szCs w:val="21"/>
                <w:highlight w:val="none"/>
              </w:rPr>
              <w:t>本项目的特定资格要求</w:t>
            </w:r>
          </w:p>
        </w:tc>
        <w:tc>
          <w:tcPr>
            <w:tcW w:w="6540" w:type="dxa"/>
            <w:noWrap w:val="0"/>
            <w:vAlign w:val="center"/>
          </w:tcPr>
          <w:p w14:paraId="2116BBB7">
            <w:pPr>
              <w:numPr>
                <w:ilvl w:val="0"/>
                <w:numId w:val="0"/>
              </w:numPr>
              <w:rPr>
                <w:rFonts w:hint="eastAsia" w:ascii="Times New Roman" w:hAnsi="Times New Roman" w:eastAsia="宋体" w:cs="Tahoma"/>
                <w:color w:val="000000"/>
                <w:kern w:val="28"/>
                <w:sz w:val="21"/>
                <w:szCs w:val="24"/>
                <w:highlight w:val="none"/>
                <w:lang w:val="en-US" w:eastAsia="zh-CN" w:bidi="ar-SA"/>
              </w:rPr>
            </w:pPr>
            <w:r>
              <w:rPr>
                <w:rFonts w:hint="eastAsia" w:ascii="Times New Roman" w:hAnsi="Times New Roman" w:eastAsia="宋体" w:cs="Tahoma"/>
                <w:color w:val="000000"/>
                <w:kern w:val="28"/>
                <w:sz w:val="21"/>
                <w:szCs w:val="24"/>
                <w:highlight w:val="none"/>
                <w:lang w:val="en-US" w:eastAsia="zh-CN" w:bidi="ar-SA"/>
              </w:rPr>
              <w:t>1）如响应人为在内地设立的企业，需具有《药品经营许可证》、《医疗器械经营许可证》</w:t>
            </w:r>
            <w:r>
              <w:rPr>
                <w:rFonts w:hint="eastAsia" w:ascii="Times New Roman" w:hAnsi="Times New Roman" w:eastAsia="宋体" w:cs="Tahoma"/>
                <w:b/>
                <w:bCs/>
                <w:color w:val="000000"/>
                <w:kern w:val="28"/>
                <w:sz w:val="21"/>
                <w:szCs w:val="24"/>
                <w:highlight w:val="none"/>
                <w:lang w:val="en-US" w:eastAsia="zh-CN" w:bidi="ar-SA"/>
              </w:rPr>
              <w:t>（经营范围包含一、二、三类医疗器械）（提供相关证明文件加盖公章）</w:t>
            </w:r>
            <w:r>
              <w:rPr>
                <w:rFonts w:hint="eastAsia" w:ascii="Times New Roman" w:hAnsi="Times New Roman" w:eastAsia="宋体" w:cs="Tahoma"/>
                <w:color w:val="000000"/>
                <w:kern w:val="28"/>
                <w:sz w:val="21"/>
                <w:szCs w:val="24"/>
                <w:highlight w:val="none"/>
                <w:lang w:val="en-US" w:eastAsia="zh-CN" w:bidi="ar-SA"/>
              </w:rPr>
              <w:t>；</w:t>
            </w:r>
          </w:p>
          <w:p w14:paraId="1B630C18">
            <w:pPr>
              <w:spacing w:line="360" w:lineRule="auto"/>
              <w:jc w:val="left"/>
              <w:rPr>
                <w:rFonts w:hint="eastAsia" w:ascii="Times New Roman" w:hAnsi="Times New Roman" w:eastAsia="宋体" w:cs="Tahoma"/>
                <w:color w:val="000000"/>
                <w:kern w:val="28"/>
                <w:sz w:val="21"/>
                <w:szCs w:val="24"/>
                <w:highlight w:val="none"/>
                <w:lang w:val="en-US" w:eastAsia="zh-CN" w:bidi="ar-SA"/>
              </w:rPr>
            </w:pPr>
            <w:r>
              <w:rPr>
                <w:rFonts w:hint="eastAsia" w:ascii="Times New Roman" w:hAnsi="Times New Roman" w:eastAsia="宋体" w:cs="Tahoma"/>
                <w:color w:val="000000"/>
                <w:kern w:val="28"/>
                <w:sz w:val="21"/>
                <w:szCs w:val="24"/>
                <w:highlight w:val="none"/>
                <w:lang w:val="en-US" w:eastAsia="zh-CN" w:bidi="ar-SA"/>
              </w:rPr>
              <w:t>2）响应人需具有进出口经营资质，经海关备案为进出口货物收发货人</w:t>
            </w:r>
            <w:r>
              <w:rPr>
                <w:rFonts w:hint="eastAsia" w:ascii="Times New Roman" w:hAnsi="Times New Roman" w:eastAsia="宋体" w:cs="Tahoma"/>
                <w:b/>
                <w:bCs/>
                <w:color w:val="000000"/>
                <w:kern w:val="28"/>
                <w:sz w:val="21"/>
                <w:szCs w:val="24"/>
                <w:highlight w:val="none"/>
                <w:lang w:val="en-US" w:eastAsia="zh-CN" w:bidi="ar-SA"/>
              </w:rPr>
              <w:t>（提供相关证明文件加盖公章）</w:t>
            </w:r>
            <w:r>
              <w:rPr>
                <w:rFonts w:hint="eastAsia" w:ascii="Times New Roman" w:hAnsi="Times New Roman" w:eastAsia="宋体" w:cs="Tahoma"/>
                <w:color w:val="000000"/>
                <w:kern w:val="28"/>
                <w:sz w:val="21"/>
                <w:szCs w:val="24"/>
                <w:highlight w:val="none"/>
                <w:lang w:val="en-US" w:eastAsia="zh-CN" w:bidi="ar-SA"/>
              </w:rPr>
              <w:t>；</w:t>
            </w:r>
          </w:p>
          <w:p w14:paraId="1D89BCF2">
            <w:pPr>
              <w:spacing w:line="360" w:lineRule="auto"/>
              <w:jc w:val="left"/>
              <w:rPr>
                <w:rFonts w:hint="default" w:ascii="Times New Roman" w:hAnsi="Times New Roman" w:eastAsia="宋体" w:cs="Tahoma"/>
                <w:color w:val="000000"/>
                <w:kern w:val="28"/>
                <w:sz w:val="21"/>
                <w:szCs w:val="24"/>
                <w:highlight w:val="none"/>
                <w:lang w:val="en-US" w:eastAsia="zh-CN" w:bidi="ar-SA"/>
              </w:rPr>
            </w:pPr>
            <w:r>
              <w:rPr>
                <w:rFonts w:hint="eastAsia" w:ascii="Times New Roman" w:hAnsi="Times New Roman" w:eastAsia="宋体" w:cs="Tahoma"/>
                <w:color w:val="000000"/>
                <w:kern w:val="28"/>
                <w:sz w:val="21"/>
                <w:szCs w:val="24"/>
                <w:highlight w:val="none"/>
                <w:lang w:val="en-US" w:eastAsia="zh-CN" w:bidi="ar-SA"/>
              </w:rPr>
              <w:t>3）</w:t>
            </w:r>
            <w:r>
              <w:rPr>
                <w:rFonts w:hint="eastAsia" w:ascii="宋体" w:hAnsi="宋体" w:eastAsia="宋体" w:cs="宋体"/>
                <w:sz w:val="24"/>
                <w:szCs w:val="24"/>
              </w:rPr>
              <w:t>按照《广东省粤港澳大湾区内地九市进口港澳药品医疗器械管理条例》，经营企业应当具备药械经营资质和进出口经营资质，具备相应的现代物流条件和配送能力，能够对急需港澳药械实施全过程追溯</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提供资质证明</w:t>
            </w:r>
            <w:r>
              <w:rPr>
                <w:rFonts w:hint="eastAsia" w:ascii="宋体" w:hAnsi="宋体" w:eastAsia="宋体" w:cs="宋体"/>
                <w:b/>
                <w:bCs/>
                <w:sz w:val="24"/>
                <w:szCs w:val="24"/>
              </w:rPr>
              <w:t>。</w:t>
            </w:r>
          </w:p>
        </w:tc>
      </w:tr>
    </w:tbl>
    <w:p w14:paraId="523AA3F8">
      <w:pPr>
        <w:pStyle w:val="43"/>
        <w:spacing w:line="360" w:lineRule="auto"/>
        <w:rPr>
          <w:rFonts w:hint="eastAsia" w:cs="Tahoma"/>
          <w:color w:val="000000"/>
          <w:kern w:val="28"/>
          <w:szCs w:val="24"/>
          <w:highlight w:val="none"/>
        </w:rPr>
      </w:pPr>
    </w:p>
    <w:p w14:paraId="419BA0B1">
      <w:pPr>
        <w:pStyle w:val="43"/>
        <w:spacing w:line="360" w:lineRule="auto"/>
        <w:rPr>
          <w:rFonts w:hint="eastAsia" w:cs="Tahoma"/>
          <w:b/>
          <w:color w:val="000000"/>
          <w:kern w:val="28"/>
          <w:szCs w:val="24"/>
          <w:highlight w:val="none"/>
        </w:rPr>
      </w:pPr>
    </w:p>
    <w:p w14:paraId="1DA1545E">
      <w:pPr>
        <w:pStyle w:val="43"/>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22"/>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5"/>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5"/>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5"/>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5"/>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5"/>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w:t>
            </w:r>
            <w:r>
              <w:rPr>
                <w:rFonts w:hint="eastAsia" w:cs="Times New Roman"/>
                <w:bCs/>
                <w:szCs w:val="21"/>
                <w:highlight w:val="none"/>
                <w:lang w:val="en-US" w:eastAsia="zh-CN"/>
              </w:rPr>
              <w:t>遴选</w:t>
            </w:r>
            <w:r>
              <w:rPr>
                <w:rFonts w:hint="eastAsia" w:ascii="Times New Roman" w:hAnsi="Times New Roman" w:eastAsia="宋体" w:cs="Times New Roman"/>
                <w:bCs/>
                <w:szCs w:val="21"/>
                <w:highlight w:val="none"/>
                <w:lang w:val="en-US" w:eastAsia="zh-CN"/>
              </w:rPr>
              <w:t>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5"/>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5"/>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5"/>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w:t>
            </w:r>
            <w:r>
              <w:rPr>
                <w:rFonts w:hint="eastAsia" w:cs="Times New Roman"/>
                <w:bCs/>
                <w:szCs w:val="21"/>
                <w:highlight w:val="none"/>
                <w:lang w:val="en-US" w:eastAsia="zh-CN"/>
              </w:rPr>
              <w:t>遴选</w:t>
            </w:r>
            <w:r>
              <w:rPr>
                <w:rFonts w:hint="eastAsia" w:ascii="Times New Roman" w:hAnsi="Times New Roman" w:eastAsia="宋体" w:cs="Times New Roman"/>
                <w:bCs/>
                <w:szCs w:val="21"/>
                <w:highlight w:val="none"/>
                <w:lang w:val="en-US" w:eastAsia="zh-CN"/>
              </w:rPr>
              <w:t>文件要求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5"/>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5"/>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5"/>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标注★号条款响应情况（如适用）</w:t>
            </w:r>
          </w:p>
        </w:tc>
      </w:tr>
      <w:tr w14:paraId="78923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1B8D9CC5">
            <w:pPr>
              <w:pStyle w:val="45"/>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4</w:t>
            </w:r>
          </w:p>
        </w:tc>
        <w:tc>
          <w:tcPr>
            <w:tcW w:w="2568" w:type="dxa"/>
            <w:noWrap w:val="0"/>
            <w:vAlign w:val="center"/>
          </w:tcPr>
          <w:p w14:paraId="390D729D">
            <w:pPr>
              <w:pStyle w:val="45"/>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需求响应</w:t>
            </w:r>
          </w:p>
        </w:tc>
        <w:tc>
          <w:tcPr>
            <w:tcW w:w="6414" w:type="dxa"/>
            <w:noWrap w:val="0"/>
            <w:vAlign w:val="center"/>
          </w:tcPr>
          <w:p w14:paraId="57A21FCD">
            <w:pPr>
              <w:pStyle w:val="45"/>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如实响应“</w:t>
            </w:r>
            <w:r>
              <w:rPr>
                <w:rFonts w:hint="eastAsia" w:cs="Times New Roman"/>
                <w:bCs/>
                <w:szCs w:val="21"/>
                <w:highlight w:val="none"/>
                <w:lang w:val="en-US" w:eastAsia="zh-CN"/>
              </w:rPr>
              <w:t>项目</w:t>
            </w:r>
            <w:r>
              <w:rPr>
                <w:rFonts w:hint="eastAsia" w:ascii="Times New Roman" w:hAnsi="Times New Roman" w:eastAsia="宋体" w:cs="Times New Roman"/>
                <w:bCs/>
                <w:szCs w:val="21"/>
                <w:highlight w:val="none"/>
                <w:lang w:val="en-US" w:eastAsia="zh-CN"/>
              </w:rPr>
              <w:t>需求</w:t>
            </w:r>
            <w:r>
              <w:rPr>
                <w:rFonts w:hint="eastAsia" w:cs="Times New Roman"/>
                <w:bCs/>
                <w:szCs w:val="21"/>
                <w:highlight w:val="none"/>
                <w:lang w:val="en-US" w:eastAsia="zh-CN"/>
              </w:rPr>
              <w:t>内容</w:t>
            </w:r>
            <w:r>
              <w:rPr>
                <w:rFonts w:hint="eastAsia" w:ascii="Times New Roman" w:hAnsi="Times New Roman" w:eastAsia="宋体" w:cs="Times New Roman"/>
                <w:bCs/>
                <w:szCs w:val="21"/>
                <w:highlight w:val="none"/>
                <w:lang w:val="en-US" w:eastAsia="zh-CN"/>
              </w:rPr>
              <w:t>”要求</w:t>
            </w:r>
          </w:p>
        </w:tc>
      </w:tr>
      <w:tr w14:paraId="0EFC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05DD46BF">
            <w:pPr>
              <w:pStyle w:val="45"/>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5</w:t>
            </w:r>
          </w:p>
        </w:tc>
        <w:tc>
          <w:tcPr>
            <w:tcW w:w="2568" w:type="dxa"/>
            <w:noWrap w:val="0"/>
            <w:vAlign w:val="center"/>
          </w:tcPr>
          <w:p w14:paraId="39865EA8">
            <w:pPr>
              <w:pStyle w:val="45"/>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其他</w:t>
            </w:r>
          </w:p>
        </w:tc>
        <w:tc>
          <w:tcPr>
            <w:tcW w:w="6414" w:type="dxa"/>
            <w:noWrap w:val="0"/>
            <w:vAlign w:val="center"/>
          </w:tcPr>
          <w:p w14:paraId="0D8B187A">
            <w:pPr>
              <w:pStyle w:val="45"/>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无</w:t>
            </w:r>
            <w:r>
              <w:rPr>
                <w:rFonts w:hint="eastAsia" w:cs="Times New Roman"/>
                <w:bCs/>
                <w:szCs w:val="21"/>
                <w:highlight w:val="none"/>
                <w:lang w:val="en-US" w:eastAsia="zh-CN"/>
              </w:rPr>
              <w:t>遴选</w:t>
            </w:r>
            <w:r>
              <w:rPr>
                <w:rFonts w:hint="eastAsia" w:ascii="Times New Roman" w:hAnsi="Times New Roman" w:eastAsia="宋体" w:cs="Times New Roman"/>
                <w:bCs/>
                <w:szCs w:val="21"/>
                <w:highlight w:val="none"/>
                <w:lang w:val="en-US" w:eastAsia="zh-CN"/>
              </w:rPr>
              <w:t>文件或法规明确规定可以废标的其他情形</w:t>
            </w:r>
          </w:p>
        </w:tc>
      </w:tr>
    </w:tbl>
    <w:p w14:paraId="1FA6F0EC">
      <w:pPr>
        <w:pStyle w:val="43"/>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both"/>
        <w:rPr>
          <w:rFonts w:hint="eastAsia" w:ascii="宋体" w:hAnsi="宋体" w:eastAsia="宋体" w:cs="Times New Roman"/>
          <w:b/>
          <w:sz w:val="36"/>
          <w:szCs w:val="36"/>
          <w:highlight w:val="none"/>
          <w:lang w:val="en-US" w:eastAsia="zh-CN"/>
        </w:rPr>
      </w:pPr>
    </w:p>
    <w:p w14:paraId="4A82ABD0">
      <w:pP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br w:type="page"/>
      </w: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3"/>
        <w:spacing w:line="360" w:lineRule="auto"/>
        <w:rPr>
          <w:rFonts w:hint="eastAsia" w:eastAsia="宋体"/>
          <w:b/>
          <w:color w:val="000000"/>
          <w:highlight w:val="none"/>
          <w:lang w:eastAsia="zh-C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3"/>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3"/>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3"/>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3"/>
              <w:spacing w:line="360" w:lineRule="auto"/>
              <w:rPr>
                <w:rFonts w:hint="eastAsia" w:eastAsia="宋体" w:cs="Tahoma"/>
                <w:color w:val="000000"/>
                <w:kern w:val="28"/>
                <w:szCs w:val="24"/>
                <w:highlight w:val="none"/>
                <w:lang w:eastAsia="zh-CN"/>
              </w:rPr>
            </w:pPr>
            <w:r>
              <w:rPr>
                <w:rFonts w:hint="eastAsia" w:cs="Tahoma"/>
                <w:color w:val="000000"/>
                <w:kern w:val="28"/>
                <w:szCs w:val="24"/>
                <w:highlight w:val="none"/>
              </w:rPr>
              <w:t>首页及文件目录</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按照公告附件2：遴选项目文件封面</w:t>
            </w:r>
            <w:r>
              <w:rPr>
                <w:rFonts w:hint="eastAsia" w:cs="Tahoma"/>
                <w:color w:val="000000"/>
                <w:kern w:val="28"/>
                <w:szCs w:val="24"/>
                <w:highlight w:val="none"/>
                <w:lang w:eastAsia="zh-CN"/>
              </w:rPr>
              <w:t>）</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3"/>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3"/>
              <w:spacing w:line="360" w:lineRule="auto"/>
              <w:rPr>
                <w:rFonts w:cs="Tahoma"/>
                <w:color w:val="000000"/>
                <w:kern w:val="28"/>
                <w:szCs w:val="24"/>
                <w:highlight w:val="none"/>
              </w:rPr>
            </w:pPr>
            <w:r>
              <w:rPr>
                <w:rFonts w:hint="eastAsia" w:cs="Tahoma"/>
                <w:color w:val="000000"/>
                <w:kern w:val="28"/>
                <w:szCs w:val="24"/>
                <w:highlight w:val="none"/>
              </w:rPr>
              <w:t>项目报价单（参考格式三：报价表填写）</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3"/>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3</w:t>
            </w:r>
          </w:p>
        </w:tc>
        <w:tc>
          <w:tcPr>
            <w:tcW w:w="8556" w:type="dxa"/>
            <w:noWrap w:val="0"/>
            <w:vAlign w:val="center"/>
          </w:tcPr>
          <w:p w14:paraId="55C1D1EE">
            <w:pPr>
              <w:pStyle w:val="43"/>
              <w:spacing w:line="360" w:lineRule="auto"/>
              <w:rPr>
                <w:rFonts w:cs="Tahoma"/>
                <w:color w:val="000000"/>
                <w:kern w:val="28"/>
                <w:szCs w:val="24"/>
                <w:highlight w:val="none"/>
              </w:rPr>
            </w:pPr>
            <w:r>
              <w:rPr>
                <w:rFonts w:hint="eastAsia" w:cs="Tahoma"/>
                <w:color w:val="000000"/>
                <w:kern w:val="28"/>
                <w:szCs w:val="24"/>
              </w:rPr>
              <w:t>供应商的介绍（综合实力），全套证件资料（包括</w:t>
            </w:r>
            <w:r>
              <w:rPr>
                <w:rFonts w:hint="eastAsia" w:cs="Tahoma"/>
                <w:color w:val="000000"/>
                <w:kern w:val="28"/>
                <w:szCs w:val="24"/>
                <w:lang w:val="en-US" w:eastAsia="zh-CN"/>
              </w:rPr>
              <w:t>但不限于</w:t>
            </w:r>
            <w:r>
              <w:rPr>
                <w:rFonts w:hint="eastAsia" w:cs="Tahoma"/>
                <w:color w:val="000000"/>
                <w:kern w:val="28"/>
                <w:szCs w:val="24"/>
              </w:rPr>
              <w:t>医疗设备经营（生产）许可证、营业执照、税务登记证、组织机构代码证、医疗器械注册证或医疗</w:t>
            </w:r>
            <w:r>
              <w:rPr>
                <w:rFonts w:cs="Tahoma"/>
                <w:color w:val="000000"/>
                <w:kern w:val="28"/>
                <w:szCs w:val="24"/>
              </w:rPr>
              <w:t>器械备案</w:t>
            </w:r>
            <w:r>
              <w:rPr>
                <w:rFonts w:hint="eastAsia" w:cs="Tahoma"/>
                <w:color w:val="000000"/>
                <w:kern w:val="28"/>
                <w:szCs w:val="24"/>
              </w:rPr>
              <w:t>证、医疗器械注册登记表等）</w:t>
            </w:r>
            <w:r>
              <w:rPr>
                <w:rFonts w:hint="eastAsia" w:cs="Tahoma"/>
                <w:color w:val="000000"/>
                <w:kern w:val="28"/>
                <w:szCs w:val="24"/>
                <w:lang w:eastAsia="zh-CN"/>
              </w:rPr>
              <w:t>，</w:t>
            </w:r>
            <w:r>
              <w:rPr>
                <w:rFonts w:hint="eastAsia" w:cs="Tahoma"/>
                <w:color w:val="000000"/>
                <w:kern w:val="28"/>
                <w:szCs w:val="24"/>
                <w:lang w:val="en-US" w:eastAsia="zh-CN"/>
              </w:rPr>
              <w:t>信用中国等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3"/>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4</w:t>
            </w:r>
          </w:p>
        </w:tc>
        <w:tc>
          <w:tcPr>
            <w:tcW w:w="8556" w:type="dxa"/>
            <w:noWrap w:val="0"/>
            <w:vAlign w:val="center"/>
          </w:tcPr>
          <w:p w14:paraId="1E85A5D5">
            <w:pPr>
              <w:pStyle w:val="43"/>
              <w:spacing w:line="360" w:lineRule="auto"/>
              <w:rPr>
                <w:rFonts w:hint="eastAsia" w:eastAsia="宋体" w:cs="Tahoma"/>
                <w:color w:val="000000"/>
                <w:kern w:val="28"/>
                <w:szCs w:val="24"/>
                <w:highlight w:val="none"/>
                <w:lang w:eastAsia="zh-CN"/>
              </w:rPr>
            </w:pPr>
            <w:r>
              <w:rPr>
                <w:rFonts w:hint="eastAsia" w:cs="Tahoma"/>
                <w:color w:val="000000"/>
                <w:kern w:val="28"/>
                <w:szCs w:val="24"/>
              </w:rPr>
              <w:t>《需求响应表》（参考格式四：需求响应表填写）</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3"/>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63BD8EC3">
            <w:pPr>
              <w:pStyle w:val="43"/>
              <w:spacing w:line="360" w:lineRule="auto"/>
              <w:rPr>
                <w:rFonts w:cs="Tahoma"/>
                <w:color w:val="000000"/>
                <w:kern w:val="28"/>
                <w:szCs w:val="24"/>
                <w:highlight w:val="none"/>
              </w:rPr>
            </w:pPr>
            <w:r>
              <w:rPr>
                <w:rFonts w:hint="eastAsia" w:cs="Tahoma"/>
                <w:color w:val="000000"/>
                <w:kern w:val="28"/>
                <w:szCs w:val="24"/>
                <w:highlight w:val="none"/>
              </w:rPr>
              <w:t>项目组织实施方案。</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3"/>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6</w:t>
            </w:r>
          </w:p>
        </w:tc>
        <w:tc>
          <w:tcPr>
            <w:tcW w:w="8556" w:type="dxa"/>
            <w:noWrap w:val="0"/>
            <w:vAlign w:val="center"/>
          </w:tcPr>
          <w:p w14:paraId="60798445">
            <w:pPr>
              <w:pStyle w:val="43"/>
              <w:spacing w:line="360" w:lineRule="auto"/>
              <w:rPr>
                <w:rFonts w:cs="Tahoma"/>
                <w:color w:val="000000"/>
                <w:kern w:val="28"/>
                <w:szCs w:val="24"/>
                <w:highlight w:val="none"/>
              </w:rPr>
            </w:pPr>
            <w:r>
              <w:rPr>
                <w:rFonts w:hint="eastAsia" w:cs="Tahoma"/>
                <w:color w:val="000000"/>
                <w:kern w:val="28"/>
                <w:szCs w:val="24"/>
                <w:highlight w:val="none"/>
              </w:rPr>
              <w:t>售后服务方案、承诺书。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3"/>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290C025A">
            <w:pPr>
              <w:pStyle w:val="43"/>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3"/>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8</w:t>
            </w:r>
          </w:p>
        </w:tc>
        <w:tc>
          <w:tcPr>
            <w:tcW w:w="8556" w:type="dxa"/>
            <w:noWrap w:val="0"/>
            <w:vAlign w:val="center"/>
          </w:tcPr>
          <w:p w14:paraId="160FE354">
            <w:pPr>
              <w:rPr>
                <w:rFonts w:hint="eastAsia" w:ascii="宋体" w:cs="Tahoma"/>
                <w:color w:val="000000"/>
                <w:kern w:val="28"/>
                <w:sz w:val="24"/>
                <w:highlight w:val="none"/>
              </w:rPr>
            </w:pPr>
            <w:r>
              <w:rPr>
                <w:rFonts w:hint="eastAsia" w:ascii="宋体" w:hAnsi="Times New Roman" w:eastAsia="宋体" w:cs="Tahoma"/>
                <w:color w:val="000000"/>
                <w:kern w:val="28"/>
                <w:sz w:val="24"/>
                <w:highlight w:val="none"/>
              </w:rPr>
              <w:t>截至报名参加</w:t>
            </w:r>
            <w:r>
              <w:rPr>
                <w:rFonts w:hint="eastAsia" w:ascii="宋体" w:cs="Tahoma"/>
                <w:color w:val="000000"/>
                <w:kern w:val="28"/>
                <w:sz w:val="24"/>
                <w:highlight w:val="none"/>
                <w:lang w:val="en-US" w:eastAsia="zh-CN"/>
              </w:rPr>
              <w:t>遴选</w:t>
            </w:r>
            <w:r>
              <w:rPr>
                <w:rFonts w:hint="eastAsia" w:ascii="宋体" w:hAnsi="Times New Roman" w:eastAsia="宋体" w:cs="Tahoma"/>
                <w:color w:val="000000"/>
                <w:kern w:val="28"/>
                <w:sz w:val="24"/>
                <w:highlight w:val="none"/>
              </w:rPr>
              <w:t>近三年内供应商承接的同类项目业绩（</w:t>
            </w:r>
            <w:r>
              <w:rPr>
                <w:rFonts w:hint="eastAsia" w:ascii="宋体" w:cs="Tahoma"/>
                <w:color w:val="000000"/>
                <w:kern w:val="28"/>
                <w:sz w:val="24"/>
                <w:highlight w:val="none"/>
                <w:lang w:val="en-US" w:eastAsia="zh-CN"/>
              </w:rPr>
              <w:t>提供</w:t>
            </w:r>
            <w:r>
              <w:rPr>
                <w:rFonts w:hint="eastAsia" w:ascii="宋体" w:hAnsi="Times New Roman" w:eastAsia="宋体" w:cs="Tahoma"/>
                <w:color w:val="000000"/>
                <w:kern w:val="28"/>
                <w:sz w:val="24"/>
                <w:highlight w:val="none"/>
              </w:rPr>
              <w:t>合同复印件并加盖公章，业绩时间以合同签订时间为准）（参考格式</w:t>
            </w:r>
            <w:r>
              <w:rPr>
                <w:rFonts w:hint="eastAsia" w:ascii="宋体" w:hAnsi="Times New Roman" w:eastAsia="宋体" w:cs="Tahoma"/>
                <w:color w:val="000000"/>
                <w:kern w:val="28"/>
                <w:sz w:val="24"/>
                <w:highlight w:val="none"/>
                <w:lang w:val="en-US" w:eastAsia="zh-CN"/>
              </w:rPr>
              <w:t>八</w:t>
            </w:r>
            <w:r>
              <w:rPr>
                <w:rFonts w:hint="eastAsia" w:ascii="宋体" w:hAnsi="Times New Roman" w:eastAsia="宋体" w:cs="Tahoma"/>
                <w:color w:val="000000"/>
                <w:kern w:val="28"/>
                <w:sz w:val="24"/>
                <w:highlight w:val="none"/>
              </w:rPr>
              <w:t>《业绩情况一览表》填写）</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3"/>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9</w:t>
            </w:r>
          </w:p>
        </w:tc>
        <w:tc>
          <w:tcPr>
            <w:tcW w:w="8556" w:type="dxa"/>
            <w:noWrap w:val="0"/>
            <w:vAlign w:val="top"/>
          </w:tcPr>
          <w:p w14:paraId="75621A65">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（参考格式</w:t>
            </w:r>
            <w:r>
              <w:rPr>
                <w:rFonts w:hint="eastAsia" w:cs="Tahoma"/>
                <w:color w:val="000000"/>
                <w:kern w:val="28"/>
                <w:sz w:val="24"/>
                <w:highlight w:val="none"/>
                <w:lang w:val="en-US" w:eastAsia="zh-CN"/>
              </w:rPr>
              <w:t>五</w:t>
            </w:r>
            <w:r>
              <w:rPr>
                <w:rFonts w:hint="eastAsia" w:cs="Tahoma"/>
                <w:color w:val="000000"/>
                <w:kern w:val="28"/>
                <w:sz w:val="24"/>
                <w:highlight w:val="none"/>
              </w:rPr>
              <w:t>《供应商资格信用承诺函》填写）</w:t>
            </w:r>
          </w:p>
          <w:p w14:paraId="531641BC">
            <w:pPr>
              <w:rPr>
                <w:rFonts w:hint="eastAsia"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3"/>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0</w:t>
            </w:r>
          </w:p>
        </w:tc>
        <w:tc>
          <w:tcPr>
            <w:tcW w:w="8556" w:type="dxa"/>
            <w:noWrap w:val="0"/>
            <w:vAlign w:val="top"/>
          </w:tcPr>
          <w:p w14:paraId="567312B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（参考格式</w:t>
            </w:r>
            <w:r>
              <w:rPr>
                <w:rFonts w:hint="eastAsia" w:cs="Tahoma"/>
                <w:color w:val="000000"/>
                <w:kern w:val="28"/>
                <w:sz w:val="24"/>
                <w:highlight w:val="none"/>
                <w:lang w:val="en-US" w:eastAsia="zh-CN"/>
              </w:rPr>
              <w:t>五</w:t>
            </w:r>
            <w:r>
              <w:rPr>
                <w:rFonts w:hint="eastAsia" w:cs="Tahoma"/>
                <w:color w:val="000000"/>
                <w:kern w:val="28"/>
                <w:sz w:val="24"/>
                <w:highlight w:val="none"/>
              </w:rPr>
              <w:t>《供应商资格信用承诺函》填写）</w:t>
            </w:r>
          </w:p>
          <w:p w14:paraId="1179B257">
            <w:pPr>
              <w:rPr>
                <w:rFonts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3"/>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1</w:t>
            </w:r>
          </w:p>
        </w:tc>
        <w:tc>
          <w:tcPr>
            <w:tcW w:w="8556" w:type="dxa"/>
            <w:noWrap w:val="0"/>
            <w:vAlign w:val="top"/>
          </w:tcPr>
          <w:p w14:paraId="259AE902">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（参考格式</w:t>
            </w:r>
            <w:r>
              <w:rPr>
                <w:rFonts w:hint="eastAsia" w:cs="Tahoma"/>
                <w:color w:val="000000"/>
                <w:kern w:val="28"/>
                <w:sz w:val="24"/>
                <w:highlight w:val="none"/>
                <w:lang w:val="en-US" w:eastAsia="zh-CN"/>
              </w:rPr>
              <w:t>五</w:t>
            </w:r>
            <w:r>
              <w:rPr>
                <w:rFonts w:hint="eastAsia" w:cs="Tahoma"/>
                <w:color w:val="000000"/>
                <w:kern w:val="28"/>
                <w:sz w:val="24"/>
                <w:highlight w:val="none"/>
              </w:rPr>
              <w:t>《供应商资格信用承诺函》填写）</w:t>
            </w:r>
          </w:p>
          <w:p w14:paraId="302E165F">
            <w:pPr>
              <w:rPr>
                <w:rFonts w:hint="eastAsia" w:hAnsi="Times New Roman" w:cs="Tahoma"/>
                <w:b w:val="0"/>
                <w:bCs w:val="0"/>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5A01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FF222C0">
            <w:pPr>
              <w:pStyle w:val="43"/>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center"/>
          </w:tcPr>
          <w:p w14:paraId="7CDF8FA5">
            <w:pPr>
              <w:pStyle w:val="4"/>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出具《无围标、串标行为承诺书》、《无重大违法违纪行为承诺书》。（参考格式</w:t>
            </w:r>
            <w:r>
              <w:rPr>
                <w:rFonts w:hint="eastAsia" w:hAnsi="Times New Roman" w:cs="Tahoma"/>
                <w:b w:val="0"/>
                <w:bCs w:val="0"/>
                <w:color w:val="000000"/>
                <w:kern w:val="28"/>
                <w:sz w:val="24"/>
                <w:highlight w:val="none"/>
                <w:lang w:val="en-US" w:eastAsia="zh-CN"/>
              </w:rPr>
              <w:t>六</w:t>
            </w:r>
            <w:r>
              <w:rPr>
                <w:rFonts w:hint="eastAsia" w:hAnsi="Times New Roman" w:cs="Tahoma"/>
                <w:b w:val="0"/>
                <w:bCs w:val="0"/>
                <w:color w:val="000000"/>
                <w:kern w:val="28"/>
                <w:sz w:val="24"/>
                <w:highlight w:val="none"/>
              </w:rPr>
              <w:t>、格式</w:t>
            </w:r>
            <w:r>
              <w:rPr>
                <w:rFonts w:hint="eastAsia" w:hAnsi="Times New Roman" w:cs="Tahoma"/>
                <w:b w:val="0"/>
                <w:bCs w:val="0"/>
                <w:color w:val="000000"/>
                <w:kern w:val="28"/>
                <w:sz w:val="24"/>
                <w:highlight w:val="none"/>
                <w:lang w:val="en-US" w:eastAsia="zh-CN"/>
              </w:rPr>
              <w:t>七</w:t>
            </w:r>
            <w:r>
              <w:rPr>
                <w:rFonts w:hint="eastAsia" w:hAnsi="Times New Roman" w:cs="Tahoma"/>
                <w:b w:val="0"/>
                <w:bCs w:val="0"/>
                <w:color w:val="000000"/>
                <w:kern w:val="28"/>
                <w:sz w:val="24"/>
                <w:highlight w:val="none"/>
              </w:rPr>
              <w:t>）</w:t>
            </w:r>
          </w:p>
        </w:tc>
      </w:tr>
    </w:tbl>
    <w:p w14:paraId="0B424075">
      <w:pPr>
        <w:pStyle w:val="43"/>
        <w:spacing w:line="360" w:lineRule="auto"/>
        <w:rPr>
          <w:rFonts w:hint="eastAsia" w:cs="Tahoma"/>
          <w:b/>
          <w:kern w:val="28"/>
          <w:szCs w:val="24"/>
          <w:highlight w:val="none"/>
        </w:rPr>
      </w:pPr>
    </w:p>
    <w:p w14:paraId="1A4BACBF">
      <w:pPr>
        <w:pStyle w:val="43"/>
        <w:spacing w:line="360" w:lineRule="auto"/>
        <w:rPr>
          <w:rFonts w:hint="eastAsia" w:cs="Tahoma"/>
          <w:b/>
          <w:color w:val="000000"/>
          <w:kern w:val="28"/>
          <w:szCs w:val="24"/>
          <w:highlight w:val="none"/>
        </w:rPr>
      </w:pPr>
    </w:p>
    <w:p w14:paraId="5C8C7002">
      <w:pPr>
        <w:pStyle w:val="43"/>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3"/>
        <w:spacing w:line="360" w:lineRule="auto"/>
        <w:rPr>
          <w:rFonts w:cs="Tahoma"/>
          <w:kern w:val="28"/>
          <w:szCs w:val="24"/>
          <w:highlight w:val="none"/>
        </w:rPr>
      </w:pPr>
      <w:r>
        <w:rPr>
          <w:rFonts w:hint="eastAsia" w:cs="Tahoma"/>
          <w:kern w:val="28"/>
          <w:szCs w:val="24"/>
          <w:highlight w:val="none"/>
        </w:rPr>
        <w:t>1.报名截止后，采购人会根据报名情况及时组织院内</w:t>
      </w:r>
      <w:r>
        <w:rPr>
          <w:rFonts w:hint="eastAsia" w:cs="Tahoma"/>
          <w:kern w:val="28"/>
          <w:szCs w:val="24"/>
          <w:highlight w:val="none"/>
          <w:lang w:val="en-US" w:eastAsia="zh-CN"/>
        </w:rPr>
        <w:t>遴选</w:t>
      </w:r>
      <w:r>
        <w:rPr>
          <w:rFonts w:hint="eastAsia" w:cs="Tahoma"/>
          <w:kern w:val="28"/>
          <w:szCs w:val="24"/>
          <w:highlight w:val="none"/>
        </w:rPr>
        <w:t>会议。</w:t>
      </w:r>
    </w:p>
    <w:p w14:paraId="001A4D22">
      <w:pPr>
        <w:pStyle w:val="43"/>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w:t>
      </w:r>
      <w:r>
        <w:rPr>
          <w:rFonts w:hint="eastAsia" w:cs="Tahoma"/>
          <w:b/>
          <w:kern w:val="28"/>
          <w:szCs w:val="24"/>
          <w:highlight w:val="none"/>
          <w:lang w:val="en-US" w:eastAsia="zh-CN"/>
        </w:rPr>
        <w:t>六</w:t>
      </w:r>
      <w:r>
        <w:rPr>
          <w:rFonts w:hint="eastAsia" w:cs="Tahoma"/>
          <w:b/>
          <w:kern w:val="28"/>
          <w:szCs w:val="24"/>
          <w:highlight w:val="none"/>
        </w:rPr>
        <w:t>份（一正</w:t>
      </w:r>
      <w:r>
        <w:rPr>
          <w:rFonts w:hint="eastAsia" w:cs="Tahoma"/>
          <w:b/>
          <w:kern w:val="28"/>
          <w:szCs w:val="24"/>
          <w:highlight w:val="none"/>
          <w:lang w:val="en-US" w:eastAsia="zh-CN"/>
        </w:rPr>
        <w:t>五</w:t>
      </w:r>
      <w:r>
        <w:rPr>
          <w:rFonts w:hint="eastAsia" w:cs="Tahoma"/>
          <w:b/>
          <w:kern w:val="28"/>
          <w:szCs w:val="24"/>
          <w:highlight w:val="none"/>
        </w:rPr>
        <w:t>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A0FEA7A">
      <w:pPr>
        <w:pStyle w:val="43"/>
        <w:spacing w:line="360" w:lineRule="auto"/>
        <w:rPr>
          <w:rFonts w:hint="eastAsia" w:cs="Tahoma"/>
          <w:b/>
          <w:bCs/>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CF29CF5">
      <w:pPr>
        <w:pStyle w:val="43"/>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11</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16</w:t>
      </w:r>
      <w:r>
        <w:rPr>
          <w:rFonts w:hint="eastAsia" w:cs="Tahoma"/>
          <w:b/>
          <w:bCs/>
          <w:color w:val="000000"/>
          <w:kern w:val="28"/>
          <w:szCs w:val="24"/>
          <w:highlight w:val="none"/>
        </w:rPr>
        <w:t>：</w:t>
      </w:r>
      <w:r>
        <w:rPr>
          <w:rFonts w:hint="eastAsia" w:cs="Tahoma"/>
          <w:b/>
          <w:bCs/>
          <w:color w:val="000000"/>
          <w:kern w:val="28"/>
          <w:szCs w:val="24"/>
          <w:highlight w:val="none"/>
          <w:lang w:val="en-US" w:eastAsia="zh-CN"/>
        </w:rPr>
        <w:t>0</w:t>
      </w:r>
      <w:r>
        <w:rPr>
          <w:rFonts w:hint="eastAsia" w:cs="Tahoma"/>
          <w:b/>
          <w:bCs/>
          <w:color w:val="000000"/>
          <w:kern w:val="28"/>
          <w:szCs w:val="24"/>
          <w:highlight w:val="none"/>
        </w:rPr>
        <w:t>0</w:t>
      </w:r>
    </w:p>
    <w:p w14:paraId="40FA91DC">
      <w:pPr>
        <w:pStyle w:val="43"/>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w:t>
      </w:r>
      <w:r>
        <w:rPr>
          <w:rFonts w:hint="eastAsia" w:cs="Tahoma"/>
          <w:b/>
          <w:bCs/>
          <w:color w:val="000000"/>
          <w:kern w:val="28"/>
          <w:szCs w:val="24"/>
          <w:highlight w:val="none"/>
          <w:lang w:eastAsia="zh-CN"/>
        </w:rPr>
        <w:t>采购</w:t>
      </w:r>
      <w:r>
        <w:rPr>
          <w:rFonts w:hint="eastAsia" w:cs="Tahoma"/>
          <w:b/>
          <w:bCs/>
          <w:color w:val="000000"/>
          <w:kern w:val="28"/>
          <w:szCs w:val="24"/>
          <w:highlight w:val="none"/>
        </w:rPr>
        <w:t>采购办公室</w:t>
      </w:r>
    </w:p>
    <w:p w14:paraId="085AB013">
      <w:pPr>
        <w:pStyle w:val="43"/>
        <w:spacing w:line="360" w:lineRule="auto"/>
        <w:ind w:firstLine="480" w:firstLineChars="200"/>
        <w:jc w:val="center"/>
        <w:rPr>
          <w:rFonts w:hint="eastAsia" w:cs="Tahoma"/>
          <w:b/>
          <w:color w:val="000000"/>
          <w:kern w:val="28"/>
          <w:szCs w:val="24"/>
          <w:highlight w:val="none"/>
        </w:rPr>
      </w:pPr>
    </w:p>
    <w:p w14:paraId="196C51D3">
      <w:pPr>
        <w:pStyle w:val="43"/>
        <w:spacing w:line="360" w:lineRule="auto"/>
        <w:ind w:firstLine="480" w:firstLineChars="200"/>
        <w:jc w:val="center"/>
        <w:rPr>
          <w:rFonts w:hint="eastAsia" w:cs="Tahoma"/>
          <w:b/>
          <w:color w:val="000000"/>
          <w:kern w:val="28"/>
          <w:szCs w:val="24"/>
          <w:highlight w:val="none"/>
        </w:rPr>
      </w:pPr>
    </w:p>
    <w:p w14:paraId="44B249AD">
      <w:pPr>
        <w:pStyle w:val="43"/>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numPr>
          <w:ilvl w:val="0"/>
          <w:numId w:val="2"/>
        </w:numPr>
        <w:spacing w:line="360" w:lineRule="auto"/>
        <w:jc w:val="center"/>
        <w:rPr>
          <w:rFonts w:hint="eastAsia"/>
          <w:b/>
          <w:sz w:val="36"/>
          <w:szCs w:val="36"/>
          <w:highlight w:val="none"/>
        </w:rPr>
      </w:pPr>
      <w:r>
        <w:rPr>
          <w:rFonts w:hint="eastAsia"/>
          <w:b/>
          <w:sz w:val="36"/>
          <w:szCs w:val="36"/>
          <w:highlight w:val="none"/>
        </w:rPr>
        <w:t>项目需求内容</w:t>
      </w:r>
    </w:p>
    <w:p w14:paraId="6AD86114">
      <w:pPr>
        <w:numPr>
          <w:ilvl w:val="0"/>
          <w:numId w:val="0"/>
        </w:numPr>
        <w:spacing w:line="360" w:lineRule="auto"/>
        <w:jc w:val="both"/>
        <w:rPr>
          <w:rFonts w:hint="eastAsia"/>
          <w:b/>
          <w:sz w:val="36"/>
          <w:szCs w:val="36"/>
          <w:highlight w:val="none"/>
        </w:rPr>
      </w:pPr>
    </w:p>
    <w:p w14:paraId="0C4424D4">
      <w:pPr>
        <w:pStyle w:val="12"/>
        <w:tabs>
          <w:tab w:val="left" w:pos="540"/>
        </w:tabs>
        <w:adjustRightInd w:val="0"/>
        <w:snapToGrid w:val="0"/>
        <w:spacing w:line="360" w:lineRule="auto"/>
        <w:ind w:firstLine="480" w:firstLineChars="200"/>
        <w:rPr>
          <w:rFonts w:hint="eastAsia" w:ascii="宋体" w:hAnsi="宋体" w:eastAsia="宋体" w:cs="宋体"/>
          <w:sz w:val="24"/>
          <w:szCs w:val="24"/>
        </w:rPr>
      </w:pPr>
      <w:bookmarkStart w:id="0" w:name="_Toc128884461"/>
      <w:r>
        <w:rPr>
          <w:rFonts w:hint="eastAsia" w:ascii="宋体" w:hAnsi="宋体" w:eastAsia="宋体" w:cs="宋体"/>
          <w:sz w:val="24"/>
          <w:szCs w:val="24"/>
        </w:rPr>
        <w:t>1、根据我院需求，在规定时间内完成收集并核实药品与医疗器械的相关资料资质（包括但不限于港澳地区的销售价格、产品资质、持证人、生产厂家和产品资料），并协助我院向各主管部门提交申报材料。联系药品与医疗器械相关的境外厂家/授权供应商，采购相关的药品、医疗器械等产品。</w:t>
      </w:r>
    </w:p>
    <w:p w14:paraId="71C8C99B">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、协助提供我院所需在港澳地区注册的药品和在港澳公立医院采购使用的医疗器械的必要信息，以支持审批。</w:t>
      </w:r>
    </w:p>
    <w:p w14:paraId="4397CF35">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、在实施采购前，提供初步询价议价情况（包括产品在港澳地区公立医院的销售价格、厂家或供应商报价单等）。</w:t>
      </w:r>
    </w:p>
    <w:p w14:paraId="2E9AA2AC">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、应当负责所购置药品及医疗器械全流程的运输，包括从境外到我院指定地点的运输，并按照药监局的要求建立产品的追溯体系。</w:t>
      </w:r>
    </w:p>
    <w:p w14:paraId="7A53081D">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、保证相关药品、医疗器械的运输、存储条件符合产品说明书、标签要求。</w:t>
      </w:r>
    </w:p>
    <w:p w14:paraId="5AF7AB49">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、负责办理相关的药品、医疗器械等产品的检验检疫、进口清关等手续，以及缴纳进口税款。</w:t>
      </w:r>
    </w:p>
    <w:p w14:paraId="6E134107">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、协助厂家提供相关文件的中文翻译及公证。</w:t>
      </w:r>
    </w:p>
    <w:p w14:paraId="693FEBDA">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协助厂家进行药品药物警戒及不良反应、医疗器械不良事件的信息收集工作。将厂家告知的全球不良事件/不良反应、召回信息及时反馈给我院和相关部门；亦会将我院发现的不良事件/不良反应及时反馈给厂家，再</w:t>
      </w:r>
      <w:r>
        <w:rPr>
          <w:rFonts w:hint="eastAsia" w:ascii="宋体" w:hAnsi="宋体" w:eastAsia="宋体" w:cs="宋体"/>
          <w:sz w:val="24"/>
          <w:szCs w:val="24"/>
          <w:lang w:eastAsia="zh-CN"/>
        </w:rPr>
        <w:t>做</w:t>
      </w:r>
      <w:r>
        <w:rPr>
          <w:rFonts w:hint="eastAsia" w:ascii="宋体" w:hAnsi="宋体" w:eastAsia="宋体" w:cs="宋体"/>
          <w:sz w:val="24"/>
          <w:szCs w:val="24"/>
        </w:rPr>
        <w:t>进一步处理。</w:t>
      </w:r>
    </w:p>
    <w:p w14:paraId="35D5B4BA">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、协助</w:t>
      </w:r>
      <w:r>
        <w:rPr>
          <w:rFonts w:hint="eastAsia" w:hAnsi="宋体" w:cs="宋体"/>
          <w:sz w:val="24"/>
          <w:szCs w:val="24"/>
          <w:lang w:eastAsia="zh-CN"/>
        </w:rPr>
        <w:t>我院</w:t>
      </w:r>
      <w:r>
        <w:rPr>
          <w:rFonts w:hint="eastAsia" w:ascii="宋体" w:hAnsi="宋体" w:eastAsia="宋体" w:cs="宋体"/>
          <w:sz w:val="24"/>
          <w:szCs w:val="24"/>
        </w:rPr>
        <w:t>做好召回和不良事件跟踪处理（联系厂家、鉴定、仲裁等），如遇到产品质量问题或厂家通知召回，第一时间通知厂家和我院，锁定库存、暂停销售。涉及退货或召回的，按相应流程处理，并协助我院联系厂家追偿。因产品存在缺陷，导致患者的人身和财产遭受损失的，赔偿责任由厂家承担，进口代理商应协助我院联系厂家追偿。</w:t>
      </w:r>
    </w:p>
    <w:p w14:paraId="424A55E5">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、协助我院向厂家或供应商购买医疗设备的维修、保修等服务，负责联系和配合厂家或供应商进行设备安装调试及对我院临床操作人员及设备维护人员进行专业的培训。</w:t>
      </w:r>
    </w:p>
    <w:p w14:paraId="25DD9C1A">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、应制定针对进口药械的具体操作流程和制度规范、过程表单模板、应急预案、质控体系文件等。</w:t>
      </w:r>
    </w:p>
    <w:p w14:paraId="43EFC85E">
      <w:pPr>
        <w:pStyle w:val="12"/>
        <w:tabs>
          <w:tab w:val="left" w:pos="5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rPr>
        <w:t>除应将药品、器械的随附文件一并交给我院，还应当向我院提交药品、器械销售发票、进口报关单证等文件资料。</w:t>
      </w:r>
    </w:p>
    <w:p w14:paraId="2843E3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、对于已完成采购的药品或医疗器械，出现滞销、或近效期需要进行换货的，由进口代理商协助相关退换货事宜</w:t>
      </w:r>
      <w:r>
        <w:rPr>
          <w:rFonts w:hint="eastAsia" w:ascii="宋体" w:hAnsi="宋体" w:eastAsia="宋体" w:cs="宋体"/>
          <w:sz w:val="24"/>
          <w:szCs w:val="24"/>
          <w:lang w:eastAsia="zh-CN"/>
        </w:rPr>
        <w:t>，</w:t>
      </w:r>
      <w:r>
        <w:rPr>
          <w:rFonts w:hint="eastAsia" w:ascii="宋体" w:hAnsi="宋体" w:eastAsia="宋体" w:cs="宋体"/>
          <w:sz w:val="24"/>
          <w:szCs w:val="24"/>
        </w:rPr>
        <w:t>依据采购协议条款争取退换货支持（如原厂召回、返厂销毁等），并跟进清关文件准备、流程协调及费用分担等方案。</w:t>
      </w:r>
    </w:p>
    <w:p w14:paraId="084C34A7">
      <w:pPr>
        <w:spacing w:line="360"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14、具有符合药品及医疗器械经营质量管理要求的计算机信息管理系统；具有与我院实施实时电子数据交换和实现产品经营全过程可追溯管理的计算机信息平台和技术手段；具有接受药品监督管理部门电子监管的数据接口；具有急需药品及医疗器械进口、赋码、储存和配送等环节质量控制的数据管理系统，可实现经营全过程“一物一码”可追溯、可核查、可校验，且数据不可篡改；</w:t>
      </w:r>
    </w:p>
    <w:p w14:paraId="526E7F90">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、药品及医疗器械如果效期不足6个月的，应征得医疗机构同意方可开票、送货；如果开票后两个月内药品及医疗器械出现滞销，按照议价环节跟厂家约定条款执行退换货（提供承诺函）；</w:t>
      </w:r>
    </w:p>
    <w:p w14:paraId="6E071095">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16</w:t>
      </w:r>
      <w:r>
        <w:rPr>
          <w:rFonts w:hint="eastAsia" w:ascii="宋体" w:hAnsi="宋体" w:eastAsia="宋体" w:cs="宋体"/>
          <w:sz w:val="24"/>
          <w:szCs w:val="24"/>
        </w:rPr>
        <w:t>、设置专员配合进行本项目相关工作。</w:t>
      </w:r>
    </w:p>
    <w:p w14:paraId="3E4EE866">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17</w:t>
      </w:r>
      <w:r>
        <w:rPr>
          <w:rFonts w:hint="eastAsia" w:ascii="宋体" w:hAnsi="宋体" w:eastAsia="宋体" w:cs="宋体"/>
          <w:sz w:val="24"/>
          <w:szCs w:val="24"/>
        </w:rPr>
        <w:t>、企业应确保所经营的港澳药械产品质量符合国家相关标准和要求。在采购、储存、运输和使用过程中，企业应严格遵守相关质量管理规范，确保产品安全性和有效性。</w:t>
      </w:r>
    </w:p>
    <w:bookmarkEnd w:id="0"/>
    <w:p w14:paraId="1268E63D">
      <w:pPr>
        <w:pStyle w:val="12"/>
        <w:tabs>
          <w:tab w:val="left" w:pos="54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hAnsi="宋体" w:cs="宋体"/>
          <w:sz w:val="24"/>
          <w:szCs w:val="24"/>
          <w:lang w:val="en-US" w:eastAsia="zh-CN"/>
        </w:rPr>
        <w:t>18</w:t>
      </w:r>
      <w:r>
        <w:rPr>
          <w:rFonts w:hint="eastAsia" w:ascii="宋体" w:hAnsi="宋体" w:eastAsia="宋体" w:cs="宋体"/>
          <w:sz w:val="24"/>
          <w:szCs w:val="24"/>
          <w:lang w:val="en-US" w:eastAsia="zh-CN"/>
        </w:rPr>
        <w:t>.服务时间：中选后30天内签订合同，合同有效期为一年。</w:t>
      </w:r>
    </w:p>
    <w:p w14:paraId="04B632C9">
      <w:pPr>
        <w:pStyle w:val="12"/>
        <w:tabs>
          <w:tab w:val="left" w:pos="54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hAnsi="宋体" w:cs="宋体"/>
          <w:sz w:val="24"/>
          <w:szCs w:val="24"/>
          <w:lang w:val="en-US" w:eastAsia="zh-CN"/>
        </w:rPr>
        <w:t>19</w:t>
      </w:r>
      <w:r>
        <w:rPr>
          <w:rFonts w:hint="eastAsia" w:ascii="宋体" w:hAnsi="宋体" w:eastAsia="宋体" w:cs="宋体"/>
          <w:sz w:val="24"/>
          <w:szCs w:val="24"/>
          <w:lang w:val="en-US" w:eastAsia="zh-CN"/>
        </w:rPr>
        <w:t>.响应有效期：从提交响应（响应）文件的截止之日起90日历天。</w:t>
      </w:r>
    </w:p>
    <w:p w14:paraId="3AD2601A">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20</w:t>
      </w:r>
      <w:r>
        <w:rPr>
          <w:rFonts w:hint="eastAsia" w:ascii="宋体" w:hAnsi="宋体" w:eastAsia="宋体" w:cs="宋体"/>
          <w:sz w:val="24"/>
          <w:szCs w:val="24"/>
          <w:lang w:val="en-US" w:eastAsia="zh-CN"/>
        </w:rPr>
        <w:t>.付款方式：</w:t>
      </w:r>
      <w:r>
        <w:rPr>
          <w:rFonts w:hint="eastAsia" w:ascii="宋体" w:hAnsi="宋体" w:eastAsia="宋体" w:cs="宋体"/>
          <w:sz w:val="24"/>
          <w:szCs w:val="24"/>
        </w:rPr>
        <w:t xml:space="preserve"> </w:t>
      </w:r>
    </w:p>
    <w:p w14:paraId="4B7FA431">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20</w:t>
      </w:r>
      <w:r>
        <w:rPr>
          <w:rFonts w:hint="eastAsia" w:ascii="宋体" w:hAnsi="宋体" w:eastAsia="宋体" w:cs="宋体"/>
          <w:sz w:val="24"/>
          <w:szCs w:val="24"/>
          <w:lang w:val="en-US" w:eastAsia="zh-CN"/>
        </w:rPr>
        <w:t>.</w:t>
      </w:r>
      <w:r>
        <w:rPr>
          <w:rFonts w:hint="eastAsia" w:ascii="宋体" w:hAnsi="宋体" w:eastAsia="宋体" w:cs="宋体"/>
          <w:sz w:val="24"/>
          <w:szCs w:val="24"/>
        </w:rPr>
        <w:t>1药品、医用耗材和试剂的开票结算价格构成:采购价+相关税费(进口关税、增值税)+服务费。医疗设备的开票结算价格组成，包括采购价+维保费用+相关税费(进口关税、增值税)+服务费。</w:t>
      </w:r>
      <w:r>
        <w:rPr>
          <w:rFonts w:hint="eastAsia" w:ascii="宋体" w:hAnsi="宋体" w:eastAsia="宋体" w:cs="宋体"/>
          <w:sz w:val="24"/>
          <w:szCs w:val="24"/>
          <w:lang w:eastAsia="zh-CN"/>
        </w:rPr>
        <w:t>（</w:t>
      </w:r>
      <w:r>
        <w:rPr>
          <w:rFonts w:hint="eastAsia" w:ascii="宋体" w:hAnsi="宋体" w:eastAsia="宋体" w:cs="宋体"/>
          <w:sz w:val="24"/>
          <w:szCs w:val="24"/>
        </w:rPr>
        <w:t>采购价、相关税费、维保费用以外的一切费用均全部包含在服务费中。</w:t>
      </w:r>
      <w:r>
        <w:rPr>
          <w:rFonts w:hint="eastAsia" w:ascii="宋体" w:hAnsi="宋体" w:eastAsia="宋体" w:cs="宋体"/>
          <w:sz w:val="24"/>
          <w:szCs w:val="24"/>
          <w:lang w:eastAsia="zh-CN"/>
        </w:rPr>
        <w:t>）</w:t>
      </w:r>
    </w:p>
    <w:p w14:paraId="5C13B1FE">
      <w:pPr>
        <w:pStyle w:val="12"/>
        <w:tabs>
          <w:tab w:val="left" w:pos="54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hAnsi="宋体" w:cs="宋体"/>
          <w:sz w:val="24"/>
          <w:szCs w:val="24"/>
          <w:lang w:val="en-US" w:eastAsia="zh-CN"/>
        </w:rPr>
        <w:t>20</w:t>
      </w:r>
      <w:r>
        <w:rPr>
          <w:rFonts w:hint="eastAsia" w:ascii="宋体" w:hAnsi="宋体" w:eastAsia="宋体" w:cs="宋体"/>
          <w:sz w:val="24"/>
          <w:szCs w:val="24"/>
          <w:lang w:val="en-US" w:eastAsia="zh-CN"/>
        </w:rPr>
        <w:t>.</w:t>
      </w:r>
      <w:r>
        <w:rPr>
          <w:rFonts w:hint="eastAsia" w:ascii="宋体" w:hAnsi="宋体" w:eastAsia="宋体" w:cs="宋体"/>
          <w:sz w:val="24"/>
          <w:szCs w:val="24"/>
        </w:rPr>
        <w:t>2我院在确认收到货物且验收合格，收到乙方提供的全额发票后 60 天内支付乙方人民币货款(其中高值耗材按照我院实际使用量开具发票办理结算)。药品及医疗器械的采购价、相关税费、维保费用为外币的，按进口报关日中国银行公布的人民币汇率中间价折算为人民币，且交易过程因汇率变动产生的汇兑损益均由进口代理商自行承担。</w:t>
      </w:r>
    </w:p>
    <w:p w14:paraId="1C36920A">
      <w:pPr>
        <w:pStyle w:val="12"/>
        <w:tabs>
          <w:tab w:val="left" w:pos="54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hAnsi="宋体" w:cs="宋体"/>
          <w:sz w:val="24"/>
          <w:szCs w:val="24"/>
          <w:lang w:val="en-US" w:eastAsia="zh-CN"/>
        </w:rPr>
        <w:t>21</w:t>
      </w:r>
      <w:r>
        <w:rPr>
          <w:rFonts w:hint="eastAsia" w:ascii="宋体" w:hAnsi="宋体" w:eastAsia="宋体" w:cs="宋体"/>
          <w:sz w:val="24"/>
          <w:szCs w:val="24"/>
          <w:lang w:val="en-US" w:eastAsia="zh-CN"/>
        </w:rPr>
        <w:t>.履约保证金：不收取。</w:t>
      </w:r>
    </w:p>
    <w:p w14:paraId="1CB08006">
      <w:pPr>
        <w:pStyle w:val="12"/>
        <w:tabs>
          <w:tab w:val="left" w:pos="54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2</w:t>
      </w:r>
      <w:r>
        <w:rPr>
          <w:rFonts w:hint="eastAsia" w:hAnsi="宋体" w:cs="宋体"/>
          <w:sz w:val="24"/>
          <w:szCs w:val="24"/>
          <w:lang w:val="en-US" w:eastAsia="zh-CN"/>
        </w:rPr>
        <w:t>2</w:t>
      </w:r>
      <w:r>
        <w:rPr>
          <w:rFonts w:hint="eastAsia" w:ascii="宋体" w:hAnsi="宋体" w:eastAsia="宋体" w:cs="宋体"/>
          <w:sz w:val="24"/>
          <w:szCs w:val="24"/>
          <w:lang w:val="en-US" w:eastAsia="zh-CN"/>
        </w:rPr>
        <w:t>.报价要求：</w:t>
      </w:r>
    </w:p>
    <w:p w14:paraId="056B834B">
      <w:pPr>
        <w:pStyle w:val="12"/>
        <w:tabs>
          <w:tab w:val="left" w:pos="54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2</w:t>
      </w:r>
      <w:r>
        <w:rPr>
          <w:rFonts w:hint="eastAsia" w:hAnsi="宋体" w:cs="宋体"/>
          <w:sz w:val="24"/>
          <w:szCs w:val="24"/>
          <w:lang w:val="en-US" w:eastAsia="zh-CN"/>
        </w:rPr>
        <w:t>2</w:t>
      </w:r>
      <w:r>
        <w:rPr>
          <w:rFonts w:hint="eastAsia" w:ascii="宋体" w:hAnsi="宋体" w:eastAsia="宋体" w:cs="宋体"/>
          <w:sz w:val="24"/>
          <w:szCs w:val="24"/>
          <w:lang w:val="en-US" w:eastAsia="zh-CN"/>
        </w:rPr>
        <w:t>.1报价需包括但不限于完成合同约定所需的人工费、差旅（交通、住宿）费、餐费、专家费、保险、管理费、利润、税金，以及所有需要向第三方支付的版权费、专利费等在内的所有费用。供应商漏报或不报，采购人将视为该漏报或不报部分的费用已包括在已报的报价中而不予支付。</w:t>
      </w:r>
    </w:p>
    <w:p w14:paraId="778771F7">
      <w:pPr>
        <w:pStyle w:val="12"/>
        <w:tabs>
          <w:tab w:val="left" w:pos="54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2</w:t>
      </w:r>
      <w:r>
        <w:rPr>
          <w:rFonts w:hint="eastAsia" w:hAnsi="宋体" w:cs="宋体"/>
          <w:sz w:val="24"/>
          <w:szCs w:val="24"/>
          <w:lang w:val="en-US" w:eastAsia="zh-CN"/>
        </w:rPr>
        <w:t>3</w:t>
      </w:r>
      <w:r>
        <w:rPr>
          <w:rFonts w:hint="eastAsia" w:ascii="宋体" w:hAnsi="宋体" w:eastAsia="宋体" w:cs="宋体"/>
          <w:sz w:val="24"/>
          <w:szCs w:val="24"/>
          <w:lang w:val="en-US" w:eastAsia="zh-CN"/>
        </w:rPr>
        <w:t>.售后服务要求：</w:t>
      </w:r>
    </w:p>
    <w:p w14:paraId="35751A10">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1药械经营企业应当加强经营质量安全管理，从境外药品上市许可持有人，医疗器械注册人、备案人，或者前者授权的经营机构采购急需港澳药械，保证产品质量与港澳上市使用的药品、医疗器械一致。</w:t>
      </w:r>
    </w:p>
    <w:p w14:paraId="1C7BD89A">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2对验收时发现的破损、包装污染、短少或质量异常的药品及医疗器械，应与境外供应商协予以退换，并承担由此给医疗机构造成的一切损失</w:t>
      </w:r>
      <w:r>
        <w:rPr>
          <w:rFonts w:hint="eastAsia" w:ascii="宋体" w:hAnsi="宋体" w:eastAsia="宋体" w:cs="宋体"/>
          <w:sz w:val="24"/>
          <w:szCs w:val="24"/>
          <w:highlight w:val="none"/>
          <w:lang w:val="en-US" w:eastAsia="zh-CN"/>
        </w:rPr>
        <w:t>（提供承诺函）</w:t>
      </w:r>
      <w:r>
        <w:rPr>
          <w:rFonts w:hint="eastAsia" w:ascii="宋体" w:hAnsi="宋体" w:eastAsia="宋体" w:cs="宋体"/>
          <w:sz w:val="24"/>
          <w:szCs w:val="24"/>
        </w:rPr>
        <w:t>；</w:t>
      </w:r>
    </w:p>
    <w:p w14:paraId="462BCC77">
      <w:pPr>
        <w:pStyle w:val="12"/>
        <w:tabs>
          <w:tab w:val="left" w:pos="540"/>
        </w:tabs>
        <w:adjustRightInd w:val="0"/>
        <w:snapToGrid w:val="0"/>
        <w:spacing w:line="360" w:lineRule="auto"/>
        <w:ind w:firstLine="480" w:firstLineChars="200"/>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3销出药品及医疗器械应附加盖出库专用章的随货同行单，并开具符合国家规定的发票。</w:t>
      </w:r>
    </w:p>
    <w:p w14:paraId="3BE295BF">
      <w:pPr>
        <w:pStyle w:val="12"/>
        <w:tabs>
          <w:tab w:val="left" w:pos="540"/>
        </w:tabs>
        <w:adjustRightInd w:val="0"/>
        <w:snapToGrid w:val="0"/>
        <w:spacing w:line="360" w:lineRule="auto"/>
        <w:ind w:firstLine="480" w:firstLineChars="200"/>
        <w:rPr>
          <w:rFonts w:hint="eastAsia" w:ascii="仿宋_GB2312" w:hAnsi="仿宋_GB2312" w:eastAsia="仿宋_GB2312" w:cs="仿宋_GB2312"/>
          <w:kern w:val="2"/>
          <w:sz w:val="32"/>
          <w:szCs w:val="32"/>
          <w:lang w:val="en-US" w:eastAsia="zh-CN" w:bidi="ar-SA"/>
        </w:rPr>
      </w:pPr>
      <w:r>
        <w:rPr>
          <w:rFonts w:hint="eastAsia" w:hAnsi="宋体" w:cs="宋体"/>
          <w:sz w:val="24"/>
          <w:szCs w:val="24"/>
          <w:lang w:val="en-US" w:eastAsia="zh-CN"/>
        </w:rPr>
        <w:t>23</w:t>
      </w:r>
      <w:r>
        <w:rPr>
          <w:rFonts w:hint="eastAsia" w:ascii="宋体" w:hAnsi="宋体" w:eastAsia="宋体" w:cs="宋体"/>
          <w:sz w:val="24"/>
          <w:szCs w:val="24"/>
          <w:lang w:val="en-US" w:eastAsia="zh-CN"/>
        </w:rPr>
        <w:t>.</w:t>
      </w:r>
      <w:r>
        <w:rPr>
          <w:rFonts w:hint="eastAsia" w:ascii="宋体" w:hAnsi="宋体" w:eastAsia="宋体" w:cs="宋体"/>
          <w:sz w:val="24"/>
          <w:szCs w:val="24"/>
        </w:rPr>
        <w:t>4确保运输过程中的药品及医疗器械质量和责任。药品及医疗器械应包装牢固、标志清晰，且符合交通运输部门有关货物运输的规定以及相关的质量要求。说明书中要求保温或冷藏的药品及医疗器械，在运输过程中采取相应的保温或冷藏措施。</w:t>
      </w:r>
    </w:p>
    <w:p w14:paraId="10970AC6">
      <w:pPr>
        <w:rPr>
          <w:rFonts w:hint="eastAsia"/>
          <w:b/>
          <w:sz w:val="36"/>
          <w:szCs w:val="36"/>
          <w:highlight w:val="none"/>
          <w:lang w:val="en-US" w:eastAsia="zh-CN"/>
        </w:rPr>
      </w:pPr>
      <w:r>
        <w:rPr>
          <w:rFonts w:hint="eastAsia"/>
          <w:b/>
          <w:sz w:val="36"/>
          <w:szCs w:val="36"/>
          <w:highlight w:val="none"/>
          <w:lang w:val="en-US" w:eastAsia="zh-CN"/>
        </w:rPr>
        <w:br w:type="page"/>
      </w: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w:t>
      </w:r>
      <w:r>
        <w:rPr>
          <w:rFonts w:hint="eastAsia"/>
          <w:b/>
          <w:sz w:val="36"/>
          <w:szCs w:val="36"/>
          <w:highlight w:val="none"/>
          <w:lang w:val="en-US" w:eastAsia="zh-CN"/>
        </w:rPr>
        <w:t>遴选</w:t>
      </w:r>
      <w:r>
        <w:rPr>
          <w:rFonts w:hint="eastAsia"/>
          <w:b/>
          <w:sz w:val="36"/>
          <w:szCs w:val="36"/>
          <w:highlight w:val="none"/>
        </w:rPr>
        <w:t>办法</w:t>
      </w:r>
    </w:p>
    <w:p w14:paraId="577A1213">
      <w:pPr>
        <w:pStyle w:val="43"/>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w:t>
      </w:r>
      <w:r>
        <w:rPr>
          <w:rFonts w:hint="eastAsia" w:cs="Tahoma"/>
          <w:b/>
          <w:color w:val="C00000"/>
          <w:kern w:val="28"/>
          <w:szCs w:val="24"/>
          <w:highlight w:val="none"/>
          <w:lang w:val="en-US" w:eastAsia="zh-CN"/>
        </w:rPr>
        <w:t>遴选</w:t>
      </w:r>
      <w:r>
        <w:rPr>
          <w:rFonts w:hint="eastAsia" w:cs="Tahoma"/>
          <w:b/>
          <w:color w:val="C00000"/>
          <w:kern w:val="28"/>
          <w:szCs w:val="24"/>
          <w:highlight w:val="none"/>
        </w:rPr>
        <w:t>活动</w:t>
      </w:r>
      <w:r>
        <w:rPr>
          <w:rFonts w:hint="eastAsia" w:cs="Tahoma"/>
          <w:b/>
          <w:color w:val="C00000"/>
          <w:kern w:val="28"/>
          <w:szCs w:val="24"/>
          <w:highlight w:val="none"/>
          <w:lang w:val="en-US" w:eastAsia="zh-CN"/>
        </w:rPr>
        <w:t>总分100分</w:t>
      </w:r>
      <w:r>
        <w:rPr>
          <w:rFonts w:hint="eastAsia" w:cs="Tahoma"/>
          <w:b/>
          <w:color w:val="C00000"/>
          <w:kern w:val="28"/>
          <w:szCs w:val="24"/>
          <w:highlight w:val="none"/>
        </w:rPr>
        <w:t>。</w:t>
      </w:r>
      <w:r>
        <w:rPr>
          <w:rFonts w:hint="eastAsia" w:cs="Tahoma"/>
          <w:color w:val="000000"/>
          <w:kern w:val="28"/>
          <w:szCs w:val="24"/>
          <w:highlight w:val="none"/>
        </w:rPr>
        <w:t>根据各供应商的</w:t>
      </w:r>
      <w:r>
        <w:rPr>
          <w:rFonts w:hint="eastAsia" w:cs="Tahoma"/>
          <w:color w:val="000000"/>
          <w:kern w:val="28"/>
          <w:szCs w:val="24"/>
          <w:highlight w:val="none"/>
          <w:lang w:val="en-US" w:eastAsia="zh-CN"/>
        </w:rPr>
        <w:t>遴选项目</w:t>
      </w:r>
      <w:r>
        <w:rPr>
          <w:rFonts w:hint="eastAsia" w:cs="Tahoma"/>
          <w:color w:val="000000"/>
          <w:kern w:val="28"/>
          <w:szCs w:val="24"/>
          <w:highlight w:val="none"/>
        </w:rPr>
        <w:t>得分，计算出各家综合得分，按综合得分由高到低的原则进行排序，推荐综合得分最高的供应商为成交供应商。</w:t>
      </w:r>
    </w:p>
    <w:p w14:paraId="73DB1222">
      <w:pPr>
        <w:pStyle w:val="43"/>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评分表</w:t>
      </w:r>
    </w:p>
    <w:tbl>
      <w:tblPr>
        <w:tblStyle w:val="22"/>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项目实施方案</w:t>
            </w:r>
          </w:p>
        </w:tc>
        <w:tc>
          <w:tcPr>
            <w:tcW w:w="781" w:type="dxa"/>
            <w:noWrap w:val="0"/>
            <w:vAlign w:val="center"/>
          </w:tcPr>
          <w:p w14:paraId="3E5F12A4">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24</w:t>
            </w:r>
          </w:p>
        </w:tc>
        <w:tc>
          <w:tcPr>
            <w:tcW w:w="8552" w:type="dxa"/>
            <w:noWrap w:val="0"/>
            <w:vAlign w:val="center"/>
          </w:tcPr>
          <w:p w14:paraId="0A836956">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根据响应</w:t>
            </w:r>
            <w:r>
              <w:rPr>
                <w:rFonts w:hint="eastAsia" w:ascii="宋体" w:hAnsi="宋体" w:eastAsia="宋体" w:cs="宋体"/>
                <w:sz w:val="20"/>
                <w:szCs w:val="20"/>
                <w:highlight w:val="none"/>
                <w:lang w:eastAsia="zh-CN"/>
              </w:rPr>
              <w:t>人所提供针对“港澳药械通”项目实施整体服务方案（</w:t>
            </w:r>
            <w:r>
              <w:rPr>
                <w:rFonts w:hint="eastAsia" w:ascii="宋体" w:hAnsi="宋体" w:eastAsia="宋体" w:cs="宋体"/>
                <w:sz w:val="20"/>
                <w:szCs w:val="20"/>
                <w:highlight w:val="none"/>
                <w:lang w:val="en-US" w:eastAsia="zh-CN"/>
              </w:rPr>
              <w:t>包括但不限于</w:t>
            </w:r>
            <w:r>
              <w:rPr>
                <w:rFonts w:hint="eastAsia" w:ascii="宋体" w:hAnsi="宋体" w:eastAsia="宋体" w:cs="宋体"/>
                <w:sz w:val="20"/>
                <w:szCs w:val="20"/>
                <w:highlight w:val="none"/>
                <w:lang w:eastAsia="zh-CN"/>
              </w:rPr>
              <w:t>整体服务方案及急需港澳药械引进流程，时效性等）。</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lang w:eastAsia="zh-CN"/>
              </w:rPr>
              <w:t>）能完整覆盖采购需求中要求的主要工作：资质收集核实、协助申报、询价议价、翻译公证、不良事件与召回处理、维修培训、专员配合、滞销近效期换货等，没有明显遗漏。各环节流程清晰、责任明确，操作顺畅，能看出实际落地经验。能体现协助我院与境外厂家/授权供应商沟通采购的能力，以及协助办理清关、缴税等手续的成熟做法。整体方案逻辑通顺，可操作性强。</w:t>
            </w:r>
          </w:p>
          <w:p w14:paraId="05AA3345">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得</w:t>
            </w:r>
            <w:r>
              <w:rPr>
                <w:rFonts w:hint="eastAsia" w:ascii="宋体" w:hAnsi="宋体" w:eastAsia="宋体" w:cs="宋体"/>
                <w:sz w:val="20"/>
                <w:szCs w:val="20"/>
                <w:highlight w:val="none"/>
                <w:lang w:eastAsia="zh-CN"/>
              </w:rPr>
              <w:t>24分。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基本</w:t>
            </w:r>
            <w:r>
              <w:rPr>
                <w:rFonts w:hint="eastAsia" w:ascii="宋体" w:hAnsi="宋体" w:eastAsia="宋体" w:cs="宋体"/>
                <w:sz w:val="20"/>
                <w:szCs w:val="20"/>
                <w:highlight w:val="none"/>
                <w:lang w:eastAsia="zh-CN"/>
              </w:rPr>
              <w:t>能完整覆盖采购需求中要求的主要工作：资质收集核实、协助申报、询价议价、翻译公证、不良事件与召回处理、维修培训、专员配合、滞销近效期换货等，没有明显遗漏，但有少数内容写得比较简单。各环节流程</w:t>
            </w:r>
            <w:r>
              <w:rPr>
                <w:rFonts w:hint="eastAsia" w:ascii="宋体" w:hAnsi="宋体" w:eastAsia="宋体" w:cs="宋体"/>
                <w:sz w:val="20"/>
                <w:szCs w:val="20"/>
                <w:highlight w:val="none"/>
                <w:lang w:val="en-US" w:eastAsia="zh-CN"/>
              </w:rPr>
              <w:t>基本</w:t>
            </w:r>
            <w:r>
              <w:rPr>
                <w:rFonts w:hint="eastAsia" w:ascii="宋体" w:hAnsi="宋体" w:eastAsia="宋体" w:cs="宋体"/>
                <w:sz w:val="20"/>
                <w:szCs w:val="20"/>
                <w:highlight w:val="none"/>
                <w:lang w:eastAsia="zh-CN"/>
              </w:rPr>
              <w:t>清晰、责任明确，操作顺畅，能看出实际落地经验。能体现协助我院与境外厂家/授权供应商沟通采购的能力，以及协助办理清关、缴税等手续的成熟做法。</w:t>
            </w:r>
            <w:r>
              <w:rPr>
                <w:rFonts w:hint="eastAsia" w:ascii="宋体" w:hAnsi="宋体" w:eastAsia="宋体" w:cs="宋体"/>
                <w:sz w:val="20"/>
                <w:szCs w:val="20"/>
                <w:highlight w:val="none"/>
                <w:lang w:val="en-US" w:eastAsia="zh-CN"/>
              </w:rPr>
              <w:t>但</w:t>
            </w:r>
            <w:r>
              <w:rPr>
                <w:rFonts w:hint="eastAsia" w:ascii="宋体" w:hAnsi="宋体" w:eastAsia="宋体" w:cs="宋体"/>
                <w:sz w:val="20"/>
                <w:szCs w:val="20"/>
                <w:highlight w:val="none"/>
                <w:lang w:eastAsia="zh-CN"/>
              </w:rPr>
              <w:t>整体方案完整性或经验展示上稍弱。</w:t>
            </w:r>
            <w:r>
              <w:rPr>
                <w:rFonts w:hint="eastAsia" w:ascii="宋体" w:hAnsi="宋体" w:eastAsia="宋体" w:cs="宋体"/>
                <w:sz w:val="20"/>
                <w:szCs w:val="20"/>
                <w:highlight w:val="none"/>
                <w:lang w:val="en-US" w:eastAsia="zh-CN"/>
              </w:rPr>
              <w:t>得16</w:t>
            </w:r>
            <w:r>
              <w:rPr>
                <w:rFonts w:hint="eastAsia" w:ascii="宋体" w:hAnsi="宋体" w:eastAsia="宋体" w:cs="宋体"/>
                <w:sz w:val="20"/>
                <w:szCs w:val="20"/>
                <w:highlight w:val="none"/>
                <w:lang w:eastAsia="zh-CN"/>
              </w:rPr>
              <w:t>分。</w:t>
            </w:r>
          </w:p>
          <w:p w14:paraId="064474CA">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仅提供部分</w:t>
            </w:r>
            <w:r>
              <w:rPr>
                <w:rFonts w:hint="eastAsia" w:ascii="宋体" w:hAnsi="宋体" w:eastAsia="宋体" w:cs="宋体"/>
                <w:sz w:val="20"/>
                <w:szCs w:val="20"/>
                <w:highlight w:val="none"/>
                <w:lang w:eastAsia="zh-CN"/>
              </w:rPr>
              <w:t>能完整覆盖采购需求中要求的主要工作：资质收集核实、协助申报、询价议价、翻译公证、不良事件与召回处理、维修培训、专员配合、滞销近效期换货等，没有明显遗漏，</w:t>
            </w:r>
            <w:r>
              <w:rPr>
                <w:rFonts w:hint="eastAsia" w:ascii="宋体" w:hAnsi="宋体" w:eastAsia="宋体" w:cs="宋体"/>
                <w:sz w:val="20"/>
                <w:szCs w:val="20"/>
                <w:highlight w:val="none"/>
                <w:lang w:val="en-US" w:eastAsia="zh-CN"/>
              </w:rPr>
              <w:t>多数</w:t>
            </w:r>
            <w:r>
              <w:rPr>
                <w:rFonts w:hint="eastAsia" w:ascii="宋体" w:hAnsi="宋体" w:eastAsia="宋体" w:cs="宋体"/>
                <w:sz w:val="20"/>
                <w:szCs w:val="20"/>
                <w:highlight w:val="none"/>
                <w:lang w:eastAsia="zh-CN"/>
              </w:rPr>
              <w:t>内容写得比较简单。各环节流程</w:t>
            </w:r>
            <w:r>
              <w:rPr>
                <w:rFonts w:hint="eastAsia" w:ascii="宋体" w:hAnsi="宋体" w:eastAsia="宋体" w:cs="宋体"/>
                <w:sz w:val="20"/>
                <w:szCs w:val="20"/>
                <w:highlight w:val="none"/>
                <w:lang w:val="en-US" w:eastAsia="zh-CN"/>
              </w:rPr>
              <w:t>不完全</w:t>
            </w:r>
            <w:r>
              <w:rPr>
                <w:rFonts w:hint="eastAsia" w:ascii="宋体" w:hAnsi="宋体" w:eastAsia="宋体" w:cs="宋体"/>
                <w:sz w:val="20"/>
                <w:szCs w:val="20"/>
                <w:highlight w:val="none"/>
                <w:lang w:eastAsia="zh-CN"/>
              </w:rPr>
              <w:t>清晰、责任明确，操作顺畅。整体方案完整性或经验展示上</w:t>
            </w:r>
            <w:r>
              <w:rPr>
                <w:rFonts w:hint="eastAsia" w:ascii="宋体" w:hAnsi="宋体" w:eastAsia="宋体" w:cs="宋体"/>
                <w:sz w:val="20"/>
                <w:szCs w:val="20"/>
                <w:highlight w:val="none"/>
                <w:lang w:val="en-US" w:eastAsia="zh-CN"/>
              </w:rPr>
              <w:t>存在不足</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得8</w:t>
            </w:r>
            <w:r>
              <w:rPr>
                <w:rFonts w:hint="eastAsia" w:ascii="宋体" w:hAnsi="宋体" w:eastAsia="宋体" w:cs="宋体"/>
                <w:sz w:val="20"/>
                <w:szCs w:val="20"/>
                <w:highlight w:val="none"/>
                <w:lang w:eastAsia="zh-CN"/>
              </w:rPr>
              <w:t>分。</w:t>
            </w:r>
          </w:p>
          <w:p w14:paraId="0F9F3C80">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（4）方</w:t>
            </w:r>
            <w:r>
              <w:rPr>
                <w:rFonts w:hint="eastAsia" w:ascii="宋体" w:hAnsi="宋体" w:eastAsia="宋体" w:cs="宋体"/>
                <w:sz w:val="20"/>
                <w:szCs w:val="20"/>
                <w:highlight w:val="none"/>
                <w:lang w:eastAsia="zh-CN"/>
              </w:rPr>
              <w:t>案内容</w:t>
            </w:r>
            <w:r>
              <w:rPr>
                <w:rFonts w:hint="eastAsia" w:ascii="宋体" w:hAnsi="宋体" w:eastAsia="宋体" w:cs="宋体"/>
                <w:sz w:val="20"/>
                <w:szCs w:val="20"/>
                <w:highlight w:val="none"/>
                <w:lang w:val="en-US" w:eastAsia="zh-CN"/>
              </w:rPr>
              <w:t>严重</w:t>
            </w:r>
            <w:r>
              <w:rPr>
                <w:rFonts w:hint="eastAsia" w:ascii="宋体" w:hAnsi="宋体" w:eastAsia="宋体" w:cs="宋体"/>
                <w:sz w:val="20"/>
                <w:szCs w:val="20"/>
                <w:highlight w:val="none"/>
                <w:lang w:eastAsia="zh-CN"/>
              </w:rPr>
              <w:t>不完整、未能满足实际需求针对性及可操作性差</w:t>
            </w:r>
            <w:r>
              <w:rPr>
                <w:rFonts w:hint="eastAsia" w:ascii="宋体" w:hAnsi="宋体" w:eastAsia="宋体" w:cs="宋体"/>
                <w:sz w:val="20"/>
                <w:szCs w:val="20"/>
                <w:highlight w:val="none"/>
                <w:lang w:val="en-US" w:eastAsia="zh-CN"/>
              </w:rPr>
              <w:t>得</w:t>
            </w:r>
            <w:r>
              <w:rPr>
                <w:rFonts w:hint="eastAsia" w:ascii="宋体" w:hAnsi="宋体" w:eastAsia="宋体" w:cs="宋体"/>
                <w:sz w:val="20"/>
                <w:szCs w:val="20"/>
                <w:highlight w:val="none"/>
                <w:lang w:eastAsia="zh-CN"/>
              </w:rPr>
              <w:t>0分</w:t>
            </w:r>
            <w:r>
              <w:rPr>
                <w:rFonts w:hint="eastAsia" w:ascii="宋体" w:hAnsi="宋体" w:eastAsia="宋体" w:cs="宋体"/>
                <w:sz w:val="20"/>
                <w:szCs w:val="20"/>
                <w:highlight w:val="none"/>
                <w:lang w:val="en-US" w:eastAsia="zh-CN"/>
              </w:rPr>
              <w:t>。</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15</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根据响应人提供的《业绩情况一览表》进行评</w:t>
            </w:r>
            <w:r>
              <w:rPr>
                <w:rFonts w:hint="eastAsia" w:ascii="宋体" w:hAnsi="宋体" w:cs="宋体"/>
                <w:sz w:val="20"/>
                <w:szCs w:val="20"/>
                <w:highlight w:val="none"/>
                <w:lang w:val="en-US" w:eastAsia="zh-CN"/>
              </w:rPr>
              <w:t>分</w:t>
            </w:r>
            <w:r>
              <w:rPr>
                <w:rFonts w:hint="eastAsia" w:ascii="宋体" w:hAnsi="宋体" w:eastAsia="宋体" w:cs="宋体"/>
                <w:sz w:val="20"/>
                <w:szCs w:val="20"/>
                <w:highlight w:val="none"/>
              </w:rPr>
              <w:t>：</w:t>
            </w:r>
          </w:p>
          <w:p w14:paraId="3FFC9503">
            <w:pPr>
              <w:pStyle w:val="10"/>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每提供一份有效同类业绩证明文件得</w:t>
            </w:r>
            <w:r>
              <w:rPr>
                <w:rFonts w:hint="eastAsia" w:ascii="宋体" w:hAnsi="宋体" w:cs="宋体"/>
                <w:kern w:val="2"/>
                <w:sz w:val="20"/>
                <w:szCs w:val="20"/>
                <w:highlight w:val="none"/>
                <w:lang w:val="en-US" w:eastAsia="zh-CN" w:bidi="ar-SA"/>
              </w:rPr>
              <w:t>3</w:t>
            </w:r>
            <w:r>
              <w:rPr>
                <w:rFonts w:hint="eastAsia" w:ascii="宋体" w:hAnsi="宋体" w:eastAsia="宋体" w:cs="宋体"/>
                <w:kern w:val="2"/>
                <w:sz w:val="20"/>
                <w:szCs w:val="20"/>
                <w:highlight w:val="none"/>
                <w:lang w:val="en-US" w:eastAsia="zh-CN" w:bidi="ar-SA"/>
              </w:rPr>
              <w:t>分，同项目的不同证明文件不重复计分，最高</w:t>
            </w:r>
            <w:r>
              <w:rPr>
                <w:rFonts w:hint="eastAsia" w:ascii="宋体" w:hAnsi="宋体" w:cs="宋体"/>
                <w:kern w:val="2"/>
                <w:sz w:val="20"/>
                <w:szCs w:val="20"/>
                <w:highlight w:val="none"/>
                <w:lang w:val="en-US" w:eastAsia="zh-CN" w:bidi="ar-SA"/>
              </w:rPr>
              <w:t>15</w:t>
            </w:r>
            <w:r>
              <w:rPr>
                <w:rFonts w:hint="eastAsia" w:ascii="宋体" w:hAnsi="宋体" w:eastAsia="宋体" w:cs="宋体"/>
                <w:kern w:val="2"/>
                <w:sz w:val="20"/>
                <w:szCs w:val="20"/>
                <w:highlight w:val="none"/>
                <w:lang w:val="en-US" w:eastAsia="zh-CN" w:bidi="ar-SA"/>
              </w:rPr>
              <w:t>分。(以</w:t>
            </w: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提供的202</w:t>
            </w:r>
            <w:r>
              <w:rPr>
                <w:rFonts w:hint="eastAsia" w:ascii="宋体" w:hAnsi="宋体" w:cs="宋体"/>
                <w:kern w:val="2"/>
                <w:sz w:val="20"/>
                <w:szCs w:val="20"/>
                <w:highlight w:val="none"/>
                <w:lang w:val="en-US" w:eastAsia="zh-CN" w:bidi="ar-SA"/>
              </w:rPr>
              <w:t>3</w:t>
            </w:r>
            <w:r>
              <w:rPr>
                <w:rFonts w:hint="eastAsia" w:ascii="宋体" w:hAnsi="宋体" w:eastAsia="宋体" w:cs="宋体"/>
                <w:kern w:val="2"/>
                <w:sz w:val="20"/>
                <w:szCs w:val="20"/>
                <w:highlight w:val="none"/>
                <w:lang w:val="en-US" w:eastAsia="zh-CN" w:bidi="ar-SA"/>
              </w:rPr>
              <w:t>年1月1日以来本项目同类产品的合同或验收报告中任何一个证明文件为准。)</w:t>
            </w:r>
          </w:p>
        </w:tc>
      </w:tr>
      <w:tr w14:paraId="68C1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12E9DB42">
            <w:pPr>
              <w:widowControl/>
              <w:spacing w:line="360" w:lineRule="auto"/>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w:t>
            </w:r>
          </w:p>
        </w:tc>
        <w:tc>
          <w:tcPr>
            <w:tcW w:w="1559" w:type="dxa"/>
            <w:noWrap w:val="0"/>
            <w:vAlign w:val="center"/>
          </w:tcPr>
          <w:p w14:paraId="6D28DE82">
            <w:pPr>
              <w:pStyle w:val="46"/>
              <w:spacing w:before="78" w:line="219" w:lineRule="auto"/>
              <w:ind w:left="29"/>
              <w:jc w:val="center"/>
              <w:rPr>
                <w:rFonts w:hint="eastAsia" w:ascii="宋体" w:hAnsi="宋体" w:eastAsia="宋体" w:cs="宋体"/>
                <w:sz w:val="20"/>
                <w:szCs w:val="20"/>
                <w:highlight w:val="none"/>
              </w:rPr>
            </w:pPr>
            <w:r>
              <w:rPr>
                <w:rFonts w:hint="eastAsia" w:cs="宋体"/>
                <w:kern w:val="2"/>
                <w:sz w:val="20"/>
                <w:szCs w:val="20"/>
                <w:highlight w:val="none"/>
                <w:lang w:val="en-US" w:eastAsia="zh-CN" w:bidi="ar-SA"/>
              </w:rPr>
              <w:t>企业认证</w:t>
            </w:r>
          </w:p>
        </w:tc>
        <w:tc>
          <w:tcPr>
            <w:tcW w:w="781" w:type="dxa"/>
            <w:noWrap w:val="0"/>
            <w:vAlign w:val="center"/>
          </w:tcPr>
          <w:p w14:paraId="4A9AC77A">
            <w:pPr>
              <w:tabs>
                <w:tab w:val="decimal" w:pos="315"/>
                <w:tab w:val="left" w:pos="630"/>
              </w:tabs>
              <w:spacing w:line="360" w:lineRule="auto"/>
              <w:jc w:val="center"/>
              <w:rPr>
                <w:rFonts w:hint="default" w:ascii="宋体" w:hAnsi="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9</w:t>
            </w:r>
          </w:p>
        </w:tc>
        <w:tc>
          <w:tcPr>
            <w:tcW w:w="8552" w:type="dxa"/>
            <w:noWrap w:val="0"/>
            <w:vAlign w:val="center"/>
          </w:tcPr>
          <w:p w14:paraId="44773F2C">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对</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eastAsia="zh-CN"/>
              </w:rPr>
              <w:t>供应商持有以下认证进行评分：</w:t>
            </w:r>
          </w:p>
          <w:p w14:paraId="6DBD189B">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eastAsia="zh-CN"/>
              </w:rPr>
              <w:t>供应商具有有效的质量管理体系认证，得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lang w:eastAsia="zh-CN"/>
              </w:rPr>
              <w:t>分；</w:t>
            </w:r>
          </w:p>
          <w:p w14:paraId="5BC98F92">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2.</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eastAsia="zh-CN"/>
              </w:rPr>
              <w:t>供应商具有有效的环境管理体系认证，得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lang w:eastAsia="zh-CN"/>
              </w:rPr>
              <w:t>分；</w:t>
            </w:r>
          </w:p>
          <w:p w14:paraId="0559C312">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3.</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eastAsia="zh-CN"/>
              </w:rPr>
              <w:t>供应商具有有效的职业健康安全管理体系认证，得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lang w:eastAsia="zh-CN"/>
              </w:rPr>
              <w:t>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val="en-US" w:eastAsia="zh-CN"/>
              </w:rPr>
              <w:t>4</w:t>
            </w:r>
          </w:p>
        </w:tc>
        <w:tc>
          <w:tcPr>
            <w:tcW w:w="1559" w:type="dxa"/>
            <w:shd w:val="clear" w:color="000000" w:fill="FFFFFF"/>
            <w:noWrap w:val="0"/>
            <w:vAlign w:val="center"/>
          </w:tcPr>
          <w:p w14:paraId="26287A69">
            <w:pPr>
              <w:pStyle w:val="46"/>
              <w:spacing w:before="78" w:line="219" w:lineRule="auto"/>
              <w:ind w:left="29"/>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kern w:val="2"/>
                <w:sz w:val="20"/>
                <w:szCs w:val="20"/>
                <w:highlight w:val="none"/>
                <w:lang w:val="en-US" w:eastAsia="zh-CN" w:bidi="ar-SA"/>
              </w:rPr>
              <w:t>软件系统</w:t>
            </w:r>
          </w:p>
        </w:tc>
        <w:tc>
          <w:tcPr>
            <w:tcW w:w="781" w:type="dxa"/>
            <w:shd w:val="clear" w:color="000000" w:fill="FFFFFF"/>
            <w:noWrap w:val="0"/>
            <w:vAlign w:val="center"/>
          </w:tcPr>
          <w:p w14:paraId="1C5C06D7">
            <w:pPr>
              <w:tabs>
                <w:tab w:val="decimal" w:pos="315"/>
                <w:tab w:val="left" w:pos="630"/>
              </w:tabs>
              <w:autoSpaceDE w:val="0"/>
              <w:autoSpaceDN w:val="0"/>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10</w:t>
            </w:r>
          </w:p>
        </w:tc>
        <w:tc>
          <w:tcPr>
            <w:tcW w:w="8552" w:type="dxa"/>
            <w:noWrap w:val="0"/>
            <w:vAlign w:val="center"/>
          </w:tcPr>
          <w:p w14:paraId="1328F302">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根据响应</w:t>
            </w:r>
            <w:r>
              <w:rPr>
                <w:rFonts w:hint="eastAsia" w:ascii="宋体" w:hAnsi="宋体" w:eastAsia="宋体" w:cs="宋体"/>
                <w:sz w:val="20"/>
                <w:szCs w:val="20"/>
                <w:highlight w:val="none"/>
                <w:lang w:eastAsia="zh-CN"/>
              </w:rPr>
              <w:t>人</w:t>
            </w:r>
            <w:r>
              <w:rPr>
                <w:rFonts w:hint="eastAsia" w:ascii="宋体" w:hAnsi="宋体" w:eastAsia="宋体" w:cs="宋体"/>
                <w:sz w:val="20"/>
                <w:szCs w:val="20"/>
                <w:highlight w:val="none"/>
                <w:lang w:val="en-US" w:eastAsia="zh-CN"/>
              </w:rPr>
              <w:t>是否</w:t>
            </w:r>
            <w:r>
              <w:rPr>
                <w:rFonts w:hint="eastAsia" w:ascii="宋体" w:hAnsi="宋体" w:eastAsia="宋体" w:cs="宋体"/>
                <w:sz w:val="20"/>
                <w:szCs w:val="20"/>
                <w:highlight w:val="none"/>
                <w:lang w:eastAsia="zh-CN"/>
              </w:rPr>
              <w:t>具有符合进口药品与医疗器械的追溯平台相关系统进行评分。</w:t>
            </w:r>
          </w:p>
          <w:p w14:paraId="121A5EB3">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人自有相关系统的计算机著作产权书或投标人已取得相关系统的软件著作权人在本项目期授予的合法有效授权证明，得</w:t>
            </w:r>
            <w:r>
              <w:rPr>
                <w:rFonts w:hint="eastAsia" w:ascii="宋体" w:hAnsi="宋体" w:eastAsia="宋体" w:cs="宋体"/>
                <w:sz w:val="20"/>
                <w:szCs w:val="20"/>
                <w:highlight w:val="none"/>
                <w:lang w:val="en-US" w:eastAsia="zh-CN"/>
              </w:rPr>
              <w:t>10</w:t>
            </w:r>
            <w:r>
              <w:rPr>
                <w:rFonts w:hint="eastAsia" w:ascii="宋体" w:hAnsi="宋体" w:eastAsia="宋体" w:cs="宋体"/>
                <w:sz w:val="20"/>
                <w:szCs w:val="20"/>
                <w:highlight w:val="none"/>
                <w:lang w:eastAsia="zh-CN"/>
              </w:rPr>
              <w:t>分，不提供则不得分；（以上资料均要求提供复印件或扫描件（或官方网站截图）加盖投标人公章，原件备查。评分中出现无证明资料或专家无法凭所提供资料判断是否得分的情况，一律作不得分处理。）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5</w:t>
            </w:r>
          </w:p>
        </w:tc>
        <w:tc>
          <w:tcPr>
            <w:tcW w:w="1559" w:type="dxa"/>
            <w:shd w:val="clear" w:color="auto" w:fill="auto"/>
            <w:noWrap w:val="0"/>
            <w:vAlign w:val="center"/>
          </w:tcPr>
          <w:p w14:paraId="0CB25C1C">
            <w:pPr>
              <w:pStyle w:val="46"/>
              <w:spacing w:before="78" w:line="219" w:lineRule="auto"/>
              <w:ind w:left="29"/>
              <w:jc w:val="center"/>
              <w:rPr>
                <w:rFonts w:hint="eastAsia" w:ascii="宋体" w:hAnsi="宋体" w:eastAsia="宋体" w:cs="宋体"/>
                <w:sz w:val="20"/>
                <w:szCs w:val="20"/>
                <w:highlight w:val="none"/>
                <w:lang w:val="en-US" w:eastAsia="zh-CN"/>
              </w:rPr>
            </w:pPr>
            <w:r>
              <w:rPr>
                <w:rFonts w:hint="eastAsia" w:ascii="宋体" w:hAnsi="宋体" w:eastAsia="宋体" w:cs="宋体"/>
                <w:kern w:val="2"/>
                <w:sz w:val="20"/>
                <w:szCs w:val="20"/>
                <w:highlight w:val="none"/>
                <w:lang w:val="en-US" w:eastAsia="zh-CN" w:bidi="ar-SA"/>
              </w:rPr>
              <w:t>软件成熟度</w:t>
            </w:r>
          </w:p>
        </w:tc>
        <w:tc>
          <w:tcPr>
            <w:tcW w:w="781" w:type="dxa"/>
            <w:shd w:val="clear" w:color="000000" w:fill="FFFFFF"/>
            <w:noWrap w:val="0"/>
            <w:vAlign w:val="center"/>
          </w:tcPr>
          <w:p w14:paraId="36ED92E4">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0</w:t>
            </w:r>
          </w:p>
        </w:tc>
        <w:tc>
          <w:tcPr>
            <w:tcW w:w="8552" w:type="dxa"/>
            <w:shd w:val="clear" w:color="000000" w:fill="FFFFFF"/>
            <w:noWrap w:val="0"/>
            <w:vAlign w:val="top"/>
          </w:tcPr>
          <w:p w14:paraId="29CB1C26">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根据响应</w:t>
            </w:r>
            <w:r>
              <w:rPr>
                <w:rFonts w:hint="eastAsia" w:ascii="宋体" w:hAnsi="宋体" w:eastAsia="宋体" w:cs="宋体"/>
                <w:sz w:val="20"/>
                <w:szCs w:val="20"/>
                <w:highlight w:val="none"/>
                <w:lang w:eastAsia="zh-CN"/>
              </w:rPr>
              <w:t>人</w:t>
            </w:r>
            <w:r>
              <w:rPr>
                <w:rFonts w:hint="eastAsia" w:ascii="宋体" w:hAnsi="宋体" w:eastAsia="宋体" w:cs="宋体"/>
                <w:sz w:val="20"/>
                <w:szCs w:val="20"/>
                <w:highlight w:val="none"/>
                <w:lang w:val="en-US" w:eastAsia="zh-CN"/>
              </w:rPr>
              <w:t>系统是否具备以下功能</w:t>
            </w:r>
            <w:r>
              <w:rPr>
                <w:rFonts w:hint="eastAsia" w:ascii="宋体" w:hAnsi="宋体" w:eastAsia="宋体" w:cs="宋体"/>
                <w:sz w:val="20"/>
                <w:szCs w:val="20"/>
                <w:highlight w:val="none"/>
                <w:lang w:eastAsia="zh-CN"/>
              </w:rPr>
              <w:t>进行评分。</w:t>
            </w:r>
          </w:p>
          <w:p w14:paraId="7A17312D">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系统具有并已成功与其他指定医疗机构实施实时电子数据交换和实现产品经营全过程可追溯管理的计算机信息平台和技术手段，得3分；（提供系统截图，能体现已实现急需进口药品与医疗器械全过程追溯管理，能体现已接受广东省药品监督管理部门电子监管的数据接口。）</w:t>
            </w:r>
            <w:r>
              <w:rPr>
                <w:rFonts w:hint="eastAsia" w:ascii="宋体" w:hAnsi="宋体" w:eastAsia="宋体" w:cs="宋体"/>
                <w:sz w:val="20"/>
                <w:szCs w:val="20"/>
                <w:highlight w:val="none"/>
                <w:lang w:val="en-US" w:eastAsia="zh-CN"/>
              </w:rPr>
              <w:br w:type="textWrapping"/>
            </w:r>
            <w:r>
              <w:rPr>
                <w:rFonts w:hint="eastAsia" w:ascii="宋体" w:hAnsi="宋体" w:eastAsia="宋体" w:cs="宋体"/>
                <w:sz w:val="20"/>
                <w:szCs w:val="20"/>
                <w:highlight w:val="none"/>
                <w:lang w:val="en-US" w:eastAsia="zh-CN"/>
              </w:rPr>
              <w:t>（2）系统具有并已接受广东省药品监督管理部门电子监管的数据接口，得4分；（提供系统截图，能体现已接受广东省药品监督管理部门电子监管的数据接口。）</w:t>
            </w:r>
          </w:p>
          <w:p w14:paraId="2E087755">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承诺可根据医院业务流程调整情况，提供采购人院内药品管理系统和医用耗材SPD系统数据接口实现对接，得3分。（提供承诺函（格式自拟），承诺可根据医院业务流程调整情况，提供采购人院内HIS系统、合理用药系统和医用耗材 SPD系统数据接口实现对接。）</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6</w:t>
            </w:r>
          </w:p>
        </w:tc>
        <w:tc>
          <w:tcPr>
            <w:tcW w:w="1559" w:type="dxa"/>
            <w:shd w:val="clear" w:color="000000" w:fill="FFFFFF"/>
            <w:noWrap w:val="0"/>
            <w:vAlign w:val="center"/>
          </w:tcPr>
          <w:p w14:paraId="7EA77029">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项目负责人</w:t>
            </w:r>
          </w:p>
        </w:tc>
        <w:tc>
          <w:tcPr>
            <w:tcW w:w="781" w:type="dxa"/>
            <w:shd w:val="clear" w:color="000000" w:fill="FFFFFF"/>
            <w:noWrap w:val="0"/>
            <w:vAlign w:val="center"/>
          </w:tcPr>
          <w:p w14:paraId="1A051202">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9</w:t>
            </w:r>
          </w:p>
        </w:tc>
        <w:tc>
          <w:tcPr>
            <w:tcW w:w="8552" w:type="dxa"/>
            <w:noWrap w:val="0"/>
            <w:vAlign w:val="center"/>
          </w:tcPr>
          <w:p w14:paraId="5C7EF624">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（一）项目负责人须是</w:t>
            </w:r>
            <w:r>
              <w:rPr>
                <w:rFonts w:hint="eastAsia" w:ascii="宋体" w:hAnsi="宋体" w:eastAsia="宋体" w:cs="宋体"/>
                <w:sz w:val="20"/>
                <w:szCs w:val="20"/>
                <w:highlight w:val="none"/>
              </w:rPr>
              <w:t>响应人</w:t>
            </w:r>
            <w:r>
              <w:rPr>
                <w:rFonts w:hint="eastAsia" w:ascii="宋体" w:hAnsi="宋体" w:eastAsia="宋体" w:cs="宋体"/>
                <w:sz w:val="20"/>
                <w:szCs w:val="20"/>
                <w:highlight w:val="none"/>
                <w:lang w:val="en-US" w:eastAsia="zh-CN"/>
              </w:rPr>
              <w:t>的正式聘任员工。</w:t>
            </w:r>
            <w:r>
              <w:rPr>
                <w:rFonts w:hint="eastAsia" w:ascii="宋体" w:hAnsi="宋体" w:eastAsia="宋体" w:cs="宋体"/>
                <w:sz w:val="20"/>
                <w:szCs w:val="20"/>
                <w:highlight w:val="none"/>
                <w:lang w:val="en-US" w:eastAsia="zh-CN"/>
              </w:rPr>
              <w:br w:type="textWrapping"/>
            </w:r>
            <w:r>
              <w:rPr>
                <w:rFonts w:hint="eastAsia" w:ascii="宋体" w:hAnsi="宋体" w:eastAsia="宋体" w:cs="宋体"/>
                <w:sz w:val="20"/>
                <w:szCs w:val="20"/>
                <w:highlight w:val="none"/>
                <w:lang w:val="en-US" w:eastAsia="zh-CN"/>
              </w:rPr>
              <w:t xml:space="preserve">1、具有药学或生物医学工程及相关专业本科（或以上）学历，得5分； </w:t>
            </w:r>
            <w:r>
              <w:rPr>
                <w:rFonts w:hint="eastAsia" w:ascii="宋体" w:hAnsi="宋体" w:eastAsia="宋体" w:cs="宋体"/>
                <w:sz w:val="20"/>
                <w:szCs w:val="20"/>
                <w:highlight w:val="none"/>
                <w:lang w:val="en-US" w:eastAsia="zh-CN"/>
              </w:rPr>
              <w:br w:type="textWrapping"/>
            </w:r>
            <w:r>
              <w:rPr>
                <w:rFonts w:hint="eastAsia" w:ascii="宋体" w:hAnsi="宋体" w:eastAsia="宋体" w:cs="宋体"/>
                <w:sz w:val="20"/>
                <w:szCs w:val="20"/>
                <w:highlight w:val="none"/>
                <w:lang w:val="en-US" w:eastAsia="zh-CN"/>
              </w:rPr>
              <w:t xml:space="preserve">2、具有管理“港澳药械通”相关项目经验的，得4分； </w:t>
            </w:r>
            <w:r>
              <w:rPr>
                <w:rFonts w:hint="eastAsia" w:ascii="宋体" w:hAnsi="宋体" w:eastAsia="宋体" w:cs="宋体"/>
                <w:sz w:val="20"/>
                <w:szCs w:val="20"/>
                <w:highlight w:val="none"/>
                <w:lang w:val="en-US" w:eastAsia="zh-CN"/>
              </w:rPr>
              <w:br w:type="textWrapping"/>
            </w:r>
            <w:r>
              <w:rPr>
                <w:rFonts w:hint="eastAsia" w:ascii="宋体" w:hAnsi="宋体" w:eastAsia="宋体" w:cs="宋体"/>
                <w:sz w:val="20"/>
                <w:szCs w:val="20"/>
                <w:highlight w:val="none"/>
                <w:lang w:val="en-US" w:eastAsia="zh-CN"/>
              </w:rPr>
              <w:t>上述两项累计得分，满分9分。</w:t>
            </w:r>
            <w:r>
              <w:rPr>
                <w:rFonts w:hint="eastAsia" w:ascii="宋体" w:hAnsi="宋体" w:eastAsia="宋体" w:cs="宋体"/>
                <w:sz w:val="20"/>
                <w:szCs w:val="20"/>
                <w:highlight w:val="none"/>
                <w:lang w:val="en-US" w:eastAsia="zh-CN"/>
              </w:rPr>
              <w:br w:type="textWrapping"/>
            </w:r>
            <w:r>
              <w:rPr>
                <w:rFonts w:hint="eastAsia" w:ascii="宋体" w:hAnsi="宋体" w:eastAsia="宋体" w:cs="宋体"/>
                <w:sz w:val="20"/>
                <w:szCs w:val="20"/>
                <w:highlight w:val="none"/>
                <w:lang w:val="en-US" w:eastAsia="zh-CN"/>
              </w:rPr>
              <w:t>（二）评分标准：</w:t>
            </w:r>
          </w:p>
          <w:p w14:paraId="07B362A9">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1.要求提供投标人相关证明资料（项目负责人工作经验证明、学历证明、社保证明）作为得分依据。</w:t>
            </w:r>
          </w:p>
          <w:p w14:paraId="072ED6DE">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 要求提供学历证书的，投标人需提供证书扫描件以及学信网查询记录（官方网站截图，截图应包含网址栏）。对于较早颁发的学历证书，学信网无法查询的，除提供证书扫描件外，还需提供毕业院校、人社部门等颁发机构或监管机构等单位出具的证明作为得分的依据。</w:t>
            </w:r>
          </w:p>
          <w:p w14:paraId="0D136D28">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3.如涉及考察人员工作经验，要求提供项目合同关键信息作为得分依据，通过合同关键信息无法判断是否得分的，还须同时提供合同甲方出具的证明文件。</w:t>
            </w:r>
          </w:p>
          <w:p w14:paraId="4DA6E006">
            <w:pPr>
              <w:keepNext w:val="0"/>
              <w:keepLines w:val="0"/>
              <w:widowControl/>
              <w:numPr>
                <w:ilvl w:val="0"/>
                <w:numId w:val="3"/>
              </w:numPr>
              <w:suppressLineNumbers w:val="0"/>
              <w:spacing w:before="0" w:beforeAutospacing="1" w:after="0" w:afterAutospacing="1"/>
              <w:ind w:left="0" w:hanging="36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通过投标人缴纳的近三个月（含开标当月）的任意一个月的社保证明作为本单位员工的证明依据。社保证明资料可为社保收缴部门盖章证明资料、社保窗口打印资料或含网址栏的社保官网截图，代缴或补缴无效。如投标人成立不足一个月的，提供情况说明函（格式自拟），无需提供相关人员社保，亦可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7</w:t>
            </w:r>
          </w:p>
        </w:tc>
        <w:tc>
          <w:tcPr>
            <w:tcW w:w="1559" w:type="dxa"/>
            <w:shd w:val="clear" w:color="000000" w:fill="FFFFFF"/>
            <w:noWrap w:val="0"/>
            <w:vAlign w:val="center"/>
          </w:tcPr>
          <w:p w14:paraId="2AB0C7AA">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应急服务方案</w:t>
            </w:r>
          </w:p>
        </w:tc>
        <w:tc>
          <w:tcPr>
            <w:tcW w:w="781" w:type="dxa"/>
            <w:shd w:val="clear" w:color="000000" w:fill="FFFFFF"/>
            <w:noWrap w:val="0"/>
            <w:vAlign w:val="center"/>
          </w:tcPr>
          <w:p w14:paraId="1E790F37">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10</w:t>
            </w:r>
          </w:p>
        </w:tc>
        <w:tc>
          <w:tcPr>
            <w:tcW w:w="8552" w:type="dxa"/>
            <w:noWrap w:val="0"/>
            <w:vAlign w:val="center"/>
          </w:tcPr>
          <w:p w14:paraId="59481933">
            <w:pPr>
              <w:tabs>
                <w:tab w:val="decimal" w:pos="315"/>
                <w:tab w:val="left" w:pos="630"/>
              </w:tabs>
              <w:spacing w:line="360" w:lineRule="auto"/>
              <w:ind w:left="-77" w:leftChars="-37" w:right="-73" w:rightChars="-35"/>
              <w:rPr>
                <w:rFonts w:hint="default"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根据</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供应商针对本项目</w:t>
            </w:r>
            <w:r>
              <w:rPr>
                <w:rFonts w:hint="eastAsia" w:ascii="宋体" w:hAnsi="宋体" w:cs="宋体"/>
                <w:sz w:val="20"/>
                <w:szCs w:val="20"/>
                <w:highlight w:val="none"/>
                <w:lang w:val="en-US" w:eastAsia="zh-CN"/>
              </w:rPr>
              <w:t>应急服务方案</w:t>
            </w:r>
            <w:r>
              <w:rPr>
                <w:rFonts w:hint="eastAsia" w:ascii="宋体" w:hAnsi="宋体" w:eastAsia="宋体" w:cs="宋体"/>
                <w:sz w:val="20"/>
                <w:szCs w:val="20"/>
                <w:highlight w:val="none"/>
                <w:lang w:val="en-US" w:eastAsia="zh-CN"/>
              </w:rPr>
              <w:t>进行评审：</w:t>
            </w:r>
            <w:r>
              <w:rPr>
                <w:rFonts w:hint="eastAsia" w:ascii="宋体" w:hAnsi="宋体" w:eastAsia="宋体" w:cs="宋体"/>
                <w:sz w:val="20"/>
                <w:szCs w:val="20"/>
                <w:highlight w:val="none"/>
                <w:lang w:val="en-US" w:eastAsia="zh-CN"/>
              </w:rPr>
              <w:br w:type="textWrapping"/>
            </w:r>
            <w:r>
              <w:rPr>
                <w:rFonts w:hint="default" w:ascii="宋体" w:hAnsi="宋体" w:eastAsia="宋体" w:cs="宋体"/>
                <w:sz w:val="20"/>
                <w:szCs w:val="20"/>
                <w:highlight w:val="none"/>
                <w:lang w:eastAsia="zh-CN"/>
              </w:rPr>
              <w:t>（1）应急场景识别全面，至少覆盖配送中断、药械质量问题、厂家召回、突发紧急需求等主要情形；针对每类场景均有明确的应对措施、责任分工和医院通知机制；应急联系人及协调流程清晰完整；方案具备实际可操作性，并能体现过往演练或预案管理经验，得1</w:t>
            </w:r>
            <w:r>
              <w:rPr>
                <w:rFonts w:hint="eastAsia" w:ascii="宋体" w:hAnsi="宋体" w:eastAsia="宋体" w:cs="宋体"/>
                <w:sz w:val="20"/>
                <w:szCs w:val="20"/>
                <w:highlight w:val="none"/>
                <w:lang w:val="en-US" w:eastAsia="zh-CN"/>
              </w:rPr>
              <w:t>0</w:t>
            </w:r>
            <w:r>
              <w:rPr>
                <w:rFonts w:hint="default" w:ascii="宋体" w:hAnsi="宋体" w:eastAsia="宋体" w:cs="宋体"/>
                <w:sz w:val="20"/>
                <w:szCs w:val="20"/>
                <w:highlight w:val="none"/>
                <w:lang w:eastAsia="zh-CN"/>
              </w:rPr>
              <w:t>分。</w:t>
            </w:r>
          </w:p>
          <w:p w14:paraId="1162EAA7">
            <w:pPr>
              <w:numPr>
                <w:ilvl w:val="0"/>
                <w:numId w:val="0"/>
              </w:numPr>
              <w:tabs>
                <w:tab w:val="decimal" w:pos="315"/>
                <w:tab w:val="left" w:pos="630"/>
              </w:tabs>
              <w:spacing w:line="360" w:lineRule="auto"/>
              <w:ind w:left="-77" w:leftChars="-37" w:right="-73" w:rightChars="-35"/>
              <w:rPr>
                <w:rFonts w:hint="default" w:ascii="宋体" w:hAnsi="宋体" w:eastAsia="宋体" w:cs="宋体"/>
                <w:sz w:val="20"/>
                <w:szCs w:val="20"/>
                <w:highlight w:val="none"/>
                <w:lang w:eastAsia="zh-CN"/>
              </w:rPr>
            </w:pPr>
            <w:r>
              <w:rPr>
                <w:rFonts w:hint="default" w:ascii="宋体" w:hAnsi="宋体" w:eastAsia="宋体" w:cs="宋体"/>
                <w:kern w:val="2"/>
                <w:sz w:val="20"/>
                <w:szCs w:val="20"/>
                <w:lang w:val="en-US" w:eastAsia="zh-CN" w:bidi="ar-SA"/>
              </w:rPr>
              <w:t>（2）</w:t>
            </w:r>
            <w:r>
              <w:rPr>
                <w:rFonts w:hint="default" w:ascii="宋体" w:hAnsi="宋体" w:eastAsia="宋体" w:cs="宋体"/>
                <w:sz w:val="20"/>
                <w:szCs w:val="20"/>
                <w:highlight w:val="none"/>
                <w:lang w:eastAsia="zh-CN"/>
              </w:rPr>
              <w:t>能覆盖大部分常见应急场景，但部分应对措施描述较为原则性，缺少具体动作或责任人的细化；有基本的应急联系人和上报机制，但响应流程不够完整；整体能够应对一般突发情况，但对重大问题的处置能力表述不足，得</w:t>
            </w:r>
            <w:r>
              <w:rPr>
                <w:rFonts w:hint="eastAsia" w:ascii="宋体" w:hAnsi="宋体" w:eastAsia="宋体" w:cs="宋体"/>
                <w:sz w:val="20"/>
                <w:szCs w:val="20"/>
                <w:highlight w:val="none"/>
                <w:lang w:val="en-US" w:eastAsia="zh-CN"/>
              </w:rPr>
              <w:t>6</w:t>
            </w:r>
            <w:r>
              <w:rPr>
                <w:rFonts w:hint="default" w:ascii="宋体" w:hAnsi="宋体" w:eastAsia="宋体" w:cs="宋体"/>
                <w:sz w:val="20"/>
                <w:szCs w:val="20"/>
                <w:highlight w:val="none"/>
                <w:lang w:eastAsia="zh-CN"/>
              </w:rPr>
              <w:t>分。</w:t>
            </w:r>
          </w:p>
          <w:p w14:paraId="19CB95D7">
            <w:pPr>
              <w:numPr>
                <w:ilvl w:val="0"/>
                <w:numId w:val="0"/>
              </w:num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default" w:ascii="宋体" w:hAnsi="宋体" w:eastAsia="宋体" w:cs="宋体"/>
                <w:sz w:val="20"/>
                <w:szCs w:val="20"/>
                <w:highlight w:val="none"/>
                <w:lang w:eastAsia="zh-CN"/>
              </w:rPr>
              <w:t>（3）仅提及一至两种应急场景，措施笼统空泛；未明确应急联系人或仅提供普通办公电话，无法满足紧急联络需求；方案缺乏针对性，明显存在内容拼凑或重大遗漏，得</w:t>
            </w:r>
            <w:r>
              <w:rPr>
                <w:rFonts w:hint="eastAsia" w:ascii="宋体" w:hAnsi="宋体" w:eastAsia="宋体" w:cs="宋体"/>
                <w:sz w:val="20"/>
                <w:szCs w:val="20"/>
                <w:highlight w:val="none"/>
                <w:lang w:val="en-US" w:eastAsia="zh-CN"/>
              </w:rPr>
              <w:t>2</w:t>
            </w:r>
            <w:r>
              <w:rPr>
                <w:rFonts w:hint="default" w:ascii="宋体" w:hAnsi="宋体" w:eastAsia="宋体" w:cs="宋体"/>
                <w:sz w:val="20"/>
                <w:szCs w:val="20"/>
                <w:highlight w:val="none"/>
                <w:lang w:eastAsia="zh-CN"/>
              </w:rPr>
              <w:t>分。</w:t>
            </w:r>
          </w:p>
          <w:p w14:paraId="65FA23F6">
            <w:pPr>
              <w:numPr>
                <w:ilvl w:val="0"/>
                <w:numId w:val="0"/>
              </w:num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default" w:ascii="宋体" w:hAnsi="宋体" w:eastAsia="宋体" w:cs="宋体"/>
                <w:sz w:val="20"/>
                <w:szCs w:val="20"/>
                <w:highlight w:val="none"/>
                <w:lang w:eastAsia="zh-CN"/>
              </w:rPr>
              <w:t>（4）未提供应急方案，或方案中明确回避应急责任，完全不具备应对突发情况的能力，得0分。</w:t>
            </w:r>
          </w:p>
        </w:tc>
      </w:tr>
      <w:tr w14:paraId="068E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978F7D3">
            <w:pPr>
              <w:tabs>
                <w:tab w:val="decimal" w:pos="315"/>
                <w:tab w:val="left" w:pos="630"/>
              </w:tabs>
              <w:spacing w:line="360" w:lineRule="auto"/>
              <w:ind w:left="-77" w:leftChars="-37" w:right="-73" w:rightChars="-35"/>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559" w:type="dxa"/>
            <w:shd w:val="clear" w:color="000000" w:fill="FFFFFF"/>
            <w:noWrap w:val="0"/>
            <w:vAlign w:val="center"/>
          </w:tcPr>
          <w:p w14:paraId="42A33205">
            <w:pPr>
              <w:tabs>
                <w:tab w:val="decimal" w:pos="315"/>
                <w:tab w:val="left" w:pos="630"/>
              </w:tabs>
              <w:spacing w:line="360" w:lineRule="auto"/>
              <w:jc w:val="center"/>
              <w:rPr>
                <w:rFonts w:hint="default" w:ascii="宋体" w:hAnsi="宋体" w:eastAsia="宋体" w:cs="宋体"/>
                <w:sz w:val="20"/>
                <w:szCs w:val="20"/>
                <w:highlight w:val="none"/>
                <w:lang w:val="en-US" w:eastAsia="zh-CN"/>
              </w:rPr>
            </w:pPr>
          </w:p>
          <w:p w14:paraId="34A0C971">
            <w:pPr>
              <w:tabs>
                <w:tab w:val="decimal" w:pos="315"/>
                <w:tab w:val="left" w:pos="630"/>
              </w:tabs>
              <w:spacing w:line="360" w:lineRule="auto"/>
              <w:jc w:val="center"/>
              <w:rPr>
                <w:rFonts w:hint="eastAsia" w:ascii="宋体" w:hAnsi="宋体" w:eastAsia="宋体" w:cs="宋体"/>
                <w:sz w:val="20"/>
                <w:szCs w:val="20"/>
                <w:highlight w:val="none"/>
                <w:lang w:val="en-US" w:eastAsia="zh-CN"/>
              </w:rPr>
            </w:pPr>
            <w:r>
              <w:rPr>
                <w:rFonts w:hint="default" w:ascii="宋体" w:hAnsi="宋体" w:eastAsia="宋体" w:cs="宋体"/>
                <w:sz w:val="20"/>
                <w:szCs w:val="20"/>
                <w:highlight w:val="none"/>
                <w:lang w:val="en-US" w:eastAsia="zh-CN"/>
              </w:rPr>
              <w:t>药品与器械物流方案</w:t>
            </w:r>
          </w:p>
          <w:p w14:paraId="660A7433">
            <w:pPr>
              <w:tabs>
                <w:tab w:val="decimal" w:pos="315"/>
                <w:tab w:val="left" w:pos="630"/>
              </w:tabs>
              <w:spacing w:line="360" w:lineRule="auto"/>
              <w:ind w:left="-77" w:leftChars="-37" w:right="-73" w:rightChars="-35"/>
              <w:jc w:val="center"/>
              <w:rPr>
                <w:rFonts w:hint="eastAsia" w:ascii="宋体" w:hAnsi="宋体" w:cs="宋体"/>
                <w:sz w:val="20"/>
                <w:szCs w:val="20"/>
                <w:highlight w:val="none"/>
                <w:lang w:val="en-US" w:eastAsia="zh-CN"/>
              </w:rPr>
            </w:pPr>
          </w:p>
        </w:tc>
        <w:tc>
          <w:tcPr>
            <w:tcW w:w="781" w:type="dxa"/>
            <w:shd w:val="clear" w:color="000000" w:fill="FFFFFF"/>
            <w:noWrap w:val="0"/>
            <w:vAlign w:val="center"/>
          </w:tcPr>
          <w:p w14:paraId="07DA305C">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13</w:t>
            </w:r>
          </w:p>
        </w:tc>
        <w:tc>
          <w:tcPr>
            <w:tcW w:w="8552" w:type="dxa"/>
            <w:noWrap w:val="0"/>
            <w:vAlign w:val="center"/>
          </w:tcPr>
          <w:p w14:paraId="6021502D">
            <w:pPr>
              <w:tabs>
                <w:tab w:val="decimal" w:pos="315"/>
                <w:tab w:val="left" w:pos="630"/>
              </w:tabs>
              <w:spacing w:line="360" w:lineRule="auto"/>
              <w:ind w:left="-77" w:leftChars="-37" w:right="-73" w:rightChars="-35"/>
              <w:rPr>
                <w:rFonts w:hint="default" w:ascii="宋体" w:hAnsi="宋体" w:eastAsia="宋体" w:cs="宋体"/>
                <w:sz w:val="20"/>
                <w:szCs w:val="20"/>
                <w:highlight w:val="none"/>
                <w:lang w:eastAsia="zh-CN"/>
              </w:rPr>
            </w:pPr>
            <w:r>
              <w:rPr>
                <w:rFonts w:hint="default" w:ascii="宋体" w:hAnsi="宋体" w:eastAsia="宋体" w:cs="宋体"/>
                <w:sz w:val="20"/>
                <w:szCs w:val="20"/>
                <w:highlight w:val="none"/>
                <w:lang w:eastAsia="zh-CN"/>
              </w:rPr>
              <w:t>（1）方案明确区分药品（含冷链品种）和医疗器械的物流要求；对药品温控运输有完整的保障措施（如冷链设备、温度监控记录等），对器械有合理的防潮防震包装说明；能够实现从境外到我院指定地点的全程运输，运输节点和责任划分清晰；建立符合药监局要求的追溯体系，可查询药械流向及关键信息；负责办理检验检疫、进口清关及缴税，随附文件（发票、报关单、随货单等）齐全；整体方案成熟可靠，得1</w:t>
            </w:r>
            <w:r>
              <w:rPr>
                <w:rFonts w:hint="eastAsia" w:ascii="宋体" w:hAnsi="宋体" w:eastAsia="宋体" w:cs="宋体"/>
                <w:sz w:val="20"/>
                <w:szCs w:val="20"/>
                <w:highlight w:val="none"/>
                <w:lang w:val="en-US" w:eastAsia="zh-CN"/>
              </w:rPr>
              <w:t>3</w:t>
            </w:r>
            <w:r>
              <w:rPr>
                <w:rFonts w:hint="default" w:ascii="宋体" w:hAnsi="宋体" w:eastAsia="宋体" w:cs="宋体"/>
                <w:sz w:val="20"/>
                <w:szCs w:val="20"/>
                <w:highlight w:val="none"/>
                <w:lang w:eastAsia="zh-CN"/>
              </w:rPr>
              <w:t>分。</w:t>
            </w:r>
          </w:p>
          <w:p w14:paraId="7CE8AF90">
            <w:pPr>
              <w:tabs>
                <w:tab w:val="decimal" w:pos="315"/>
                <w:tab w:val="left" w:pos="630"/>
              </w:tabs>
              <w:spacing w:line="360" w:lineRule="auto"/>
              <w:ind w:left="-77" w:leftChars="-37" w:right="-73" w:rightChars="-35"/>
              <w:rPr>
                <w:rFonts w:hint="default" w:ascii="宋体" w:hAnsi="宋体" w:eastAsia="宋体" w:cs="宋体"/>
                <w:sz w:val="20"/>
                <w:szCs w:val="20"/>
                <w:highlight w:val="none"/>
                <w:lang w:eastAsia="zh-CN"/>
              </w:rPr>
            </w:pPr>
            <w:r>
              <w:rPr>
                <w:rFonts w:hint="default" w:ascii="宋体" w:hAnsi="宋体" w:eastAsia="宋体" w:cs="宋体"/>
                <w:sz w:val="20"/>
                <w:szCs w:val="20"/>
                <w:highlight w:val="none"/>
                <w:lang w:eastAsia="zh-CN"/>
              </w:rPr>
              <w:t>（2）提及温控和包装要求，但措施描述不够细致；能完成全程运输，但运输节点或责任划分存在模糊之处；追溯体系有基本描述但不完善；清关及随附文件方面未出现明显错误但表述简略，得</w:t>
            </w:r>
            <w:r>
              <w:rPr>
                <w:rFonts w:hint="eastAsia" w:ascii="宋体" w:hAnsi="宋体" w:eastAsia="宋体" w:cs="宋体"/>
                <w:sz w:val="20"/>
                <w:szCs w:val="20"/>
                <w:highlight w:val="none"/>
                <w:lang w:val="en-US" w:eastAsia="zh-CN"/>
              </w:rPr>
              <w:t>8</w:t>
            </w:r>
            <w:r>
              <w:rPr>
                <w:rFonts w:hint="default" w:ascii="宋体" w:hAnsi="宋体" w:eastAsia="宋体" w:cs="宋体"/>
                <w:sz w:val="20"/>
                <w:szCs w:val="20"/>
                <w:highlight w:val="none"/>
                <w:lang w:eastAsia="zh-CN"/>
              </w:rPr>
              <w:t>分。</w:t>
            </w:r>
          </w:p>
          <w:p w14:paraId="37E5CE05">
            <w:pPr>
              <w:tabs>
                <w:tab w:val="decimal" w:pos="315"/>
                <w:tab w:val="left" w:pos="630"/>
              </w:tabs>
              <w:spacing w:line="360" w:lineRule="auto"/>
              <w:ind w:left="-77" w:leftChars="-37" w:right="-73" w:rightChars="-35"/>
              <w:rPr>
                <w:rFonts w:hint="default" w:ascii="宋体" w:hAnsi="宋体" w:eastAsia="宋体" w:cs="宋体"/>
                <w:sz w:val="20"/>
                <w:szCs w:val="20"/>
                <w:highlight w:val="none"/>
                <w:lang w:eastAsia="zh-CN"/>
              </w:rPr>
            </w:pPr>
            <w:r>
              <w:rPr>
                <w:rFonts w:hint="default" w:ascii="宋体" w:hAnsi="宋体" w:eastAsia="宋体" w:cs="宋体"/>
                <w:sz w:val="20"/>
                <w:szCs w:val="20"/>
                <w:highlight w:val="none"/>
                <w:lang w:eastAsia="zh-CN"/>
              </w:rPr>
              <w:t>（3）未区分药品与器械物流要求，混同描述且缺少温控或包装等关键措施；运输方案不完整；无实质性的追溯体系，或仅简单提及“按法规执行”；清关或随附文件存在明显缺失倾向，得</w:t>
            </w:r>
            <w:r>
              <w:rPr>
                <w:rFonts w:hint="eastAsia" w:ascii="宋体" w:hAnsi="宋体" w:eastAsia="宋体" w:cs="宋体"/>
                <w:sz w:val="20"/>
                <w:szCs w:val="20"/>
                <w:highlight w:val="none"/>
                <w:lang w:val="en-US" w:eastAsia="zh-CN"/>
              </w:rPr>
              <w:t>3</w:t>
            </w:r>
            <w:r>
              <w:rPr>
                <w:rFonts w:hint="default" w:ascii="宋体" w:hAnsi="宋体" w:eastAsia="宋体" w:cs="宋体"/>
                <w:sz w:val="20"/>
                <w:szCs w:val="20"/>
                <w:highlight w:val="none"/>
                <w:lang w:eastAsia="zh-CN"/>
              </w:rPr>
              <w:t>分。</w:t>
            </w:r>
          </w:p>
          <w:p w14:paraId="1C4B4885">
            <w:pPr>
              <w:tabs>
                <w:tab w:val="decimal" w:pos="315"/>
                <w:tab w:val="left" w:pos="630"/>
              </w:tabs>
              <w:spacing w:line="360" w:lineRule="auto"/>
              <w:ind w:left="-77" w:leftChars="-37" w:right="-73" w:rightChars="-35"/>
              <w:rPr>
                <w:rFonts w:hint="default" w:ascii="宋体" w:hAnsi="宋体" w:eastAsia="宋体" w:cs="宋体"/>
                <w:sz w:val="20"/>
                <w:szCs w:val="20"/>
                <w:highlight w:val="none"/>
                <w:lang w:eastAsia="zh-CN"/>
              </w:rPr>
            </w:pPr>
            <w:r>
              <w:rPr>
                <w:rFonts w:hint="default" w:ascii="宋体" w:hAnsi="宋体" w:eastAsia="宋体" w:cs="宋体"/>
                <w:sz w:val="20"/>
                <w:szCs w:val="20"/>
                <w:highlight w:val="none"/>
                <w:lang w:eastAsia="zh-CN"/>
              </w:rPr>
              <w:t>（4）未提供物流方案，或方案中明确表示不负责运输、不清关、不缴税，无法满足基本物流要求，得0分。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10</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10</w:t>
            </w:r>
            <w:r>
              <w:rPr>
                <w:rFonts w:hint="eastAsia" w:ascii="宋体" w:hAnsi="宋体" w:eastAsia="宋体" w:cs="宋体"/>
                <w:color w:val="000000"/>
                <w:kern w:val="0"/>
                <w:sz w:val="20"/>
                <w:szCs w:val="20"/>
                <w:highlight w:val="none"/>
                <w:lang w:val="en-US" w:eastAsia="zh-CN"/>
              </w:rPr>
              <w:t>0</w:t>
            </w:r>
          </w:p>
        </w:tc>
      </w:tr>
    </w:tbl>
    <w:p w14:paraId="68D5AC37">
      <w:pPr>
        <w:pStyle w:val="2"/>
        <w:rPr>
          <w:rFonts w:hint="eastAsia" w:ascii="宋体" w:hAnsi="宋体"/>
          <w:iCs/>
          <w:sz w:val="30"/>
          <w:szCs w:val="30"/>
          <w:highlight w:val="none"/>
        </w:rPr>
      </w:pPr>
    </w:p>
    <w:p w14:paraId="5294EEDD">
      <w:pPr>
        <w:pStyle w:val="43"/>
        <w:spacing w:line="360" w:lineRule="auto"/>
        <w:jc w:val="center"/>
        <w:rPr>
          <w:rFonts w:hint="eastAsia" w:ascii="Times New Roman"/>
          <w:b/>
          <w:kern w:val="2"/>
          <w:sz w:val="36"/>
          <w:szCs w:val="36"/>
          <w:highlight w:val="none"/>
        </w:rPr>
      </w:pPr>
    </w:p>
    <w:p w14:paraId="21F2610C">
      <w:pPr>
        <w:pStyle w:val="43"/>
        <w:spacing w:line="360" w:lineRule="auto"/>
        <w:jc w:val="both"/>
        <w:rPr>
          <w:rFonts w:hint="eastAsia" w:ascii="Times New Roman"/>
          <w:b/>
          <w:kern w:val="2"/>
          <w:sz w:val="36"/>
          <w:szCs w:val="36"/>
          <w:highlight w:val="none"/>
          <w:lang w:val="en-US" w:eastAsia="zh-CN"/>
        </w:rPr>
      </w:pPr>
    </w:p>
    <w:p w14:paraId="700BCB82">
      <w:pPr>
        <w:rPr>
          <w:rFonts w:hint="eastAsia" w:ascii="Times New Roman"/>
          <w:b/>
          <w:kern w:val="2"/>
          <w:sz w:val="36"/>
          <w:szCs w:val="36"/>
          <w:highlight w:val="none"/>
          <w:lang w:val="en-US" w:eastAsia="zh-CN"/>
        </w:rPr>
      </w:pPr>
      <w:r>
        <w:rPr>
          <w:rFonts w:hint="eastAsia" w:ascii="Times New Roman"/>
          <w:b/>
          <w:kern w:val="2"/>
          <w:sz w:val="36"/>
          <w:szCs w:val="36"/>
          <w:highlight w:val="none"/>
          <w:lang w:val="en-US" w:eastAsia="zh-CN"/>
        </w:rPr>
        <w:br w:type="page"/>
      </w:r>
    </w:p>
    <w:p w14:paraId="338E6DEA">
      <w:pPr>
        <w:pStyle w:val="43"/>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3"/>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lang w:eastAsia="zh-CN"/>
        </w:rPr>
        <w:t>郑</w:t>
      </w:r>
      <w:r>
        <w:rPr>
          <w:rFonts w:hint="eastAsia" w:ascii="宋体" w:hAnsi="宋体"/>
          <w:sz w:val="24"/>
          <w:highlight w:val="none"/>
        </w:rPr>
        <w:t>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w:t>
      </w:r>
      <w:r>
        <w:rPr>
          <w:rFonts w:hint="eastAsia" w:ascii="宋体" w:hAnsi="宋体"/>
          <w:sz w:val="24"/>
          <w:highlight w:val="none"/>
          <w:lang w:eastAsia="zh-CN"/>
        </w:rPr>
        <w:t>采购</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3"/>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5C917D9">
      <w:pPr>
        <w:tabs>
          <w:tab w:val="left" w:pos="720"/>
        </w:tabs>
        <w:spacing w:line="360" w:lineRule="auto"/>
        <w:jc w:val="center"/>
        <w:rPr>
          <w:rFonts w:ascii="宋体" w:hAnsi="宋体"/>
          <w:b/>
          <w:color w:val="auto"/>
          <w:sz w:val="48"/>
          <w:szCs w:val="48"/>
          <w:highlight w:val="none"/>
          <w:u w:val="single"/>
        </w:rPr>
      </w:pPr>
      <w:r>
        <w:rPr>
          <w:rFonts w:hint="eastAsia" w:ascii="宋体" w:hAnsi="宋体"/>
          <w:b/>
          <w:color w:val="auto"/>
          <w:sz w:val="48"/>
          <w:szCs w:val="48"/>
          <w:highlight w:val="none"/>
          <w:u w:val="single"/>
        </w:rPr>
        <w:t xml:space="preserve">        (项目)</w:t>
      </w:r>
    </w:p>
    <w:p w14:paraId="0D97B354">
      <w:pPr>
        <w:tabs>
          <w:tab w:val="left" w:pos="720"/>
        </w:tabs>
        <w:spacing w:line="360" w:lineRule="auto"/>
        <w:rPr>
          <w:rFonts w:ascii="宋体" w:hAnsi="宋体"/>
          <w:b/>
          <w:color w:val="auto"/>
          <w:sz w:val="48"/>
          <w:szCs w:val="48"/>
          <w:highlight w:val="none"/>
        </w:rPr>
      </w:pPr>
    </w:p>
    <w:p w14:paraId="31590B66">
      <w:pPr>
        <w:tabs>
          <w:tab w:val="left" w:pos="720"/>
        </w:tabs>
        <w:spacing w:line="360" w:lineRule="auto"/>
        <w:jc w:val="center"/>
        <w:rPr>
          <w:rFonts w:ascii="宋体" w:hAnsi="宋体"/>
          <w:b/>
          <w:color w:val="auto"/>
          <w:sz w:val="48"/>
          <w:szCs w:val="48"/>
          <w:highlight w:val="none"/>
        </w:rPr>
      </w:pPr>
      <w:r>
        <w:rPr>
          <w:rFonts w:hint="eastAsia" w:ascii="宋体" w:hAnsi="宋体"/>
          <w:b/>
          <w:color w:val="auto"/>
          <w:sz w:val="48"/>
          <w:szCs w:val="48"/>
          <w:highlight w:val="none"/>
        </w:rPr>
        <w:t>合 同 书</w:t>
      </w:r>
    </w:p>
    <w:p w14:paraId="2F097FC0">
      <w:pPr>
        <w:tabs>
          <w:tab w:val="left" w:pos="720"/>
        </w:tabs>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（服务类）</w:t>
      </w:r>
    </w:p>
    <w:p w14:paraId="4EC85D73">
      <w:pPr>
        <w:tabs>
          <w:tab w:val="left" w:pos="720"/>
        </w:tabs>
        <w:spacing w:line="360" w:lineRule="auto"/>
        <w:rPr>
          <w:rFonts w:ascii="宋体" w:hAnsi="宋体"/>
          <w:b/>
          <w:color w:val="auto"/>
          <w:sz w:val="28"/>
          <w:szCs w:val="28"/>
          <w:highlight w:val="none"/>
        </w:rPr>
      </w:pPr>
    </w:p>
    <w:tbl>
      <w:tblPr>
        <w:tblStyle w:val="22"/>
        <w:tblW w:w="5400" w:type="dxa"/>
        <w:jc w:val="center"/>
        <w:tblLayout w:type="fixed"/>
        <w:tblCellMar>
          <w:top w:w="0" w:type="dxa"/>
          <w:left w:w="108" w:type="dxa"/>
          <w:bottom w:w="0" w:type="dxa"/>
          <w:right w:w="108" w:type="dxa"/>
        </w:tblCellMar>
      </w:tblPr>
      <w:tblGrid>
        <w:gridCol w:w="5400"/>
      </w:tblGrid>
      <w:tr w14:paraId="402AFF66">
        <w:tblPrEx>
          <w:tblCellMar>
            <w:top w:w="0" w:type="dxa"/>
            <w:left w:w="108" w:type="dxa"/>
            <w:bottom w:w="0" w:type="dxa"/>
            <w:right w:w="108" w:type="dxa"/>
          </w:tblCellMar>
        </w:tblPrEx>
        <w:trPr>
          <w:trHeight w:val="446" w:hRule="atLeast"/>
          <w:jc w:val="center"/>
        </w:trPr>
        <w:tc>
          <w:tcPr>
            <w:tcW w:w="5400" w:type="dxa"/>
            <w:noWrap w:val="0"/>
            <w:vAlign w:val="top"/>
          </w:tcPr>
          <w:p w14:paraId="7143938E">
            <w:pPr>
              <w:tabs>
                <w:tab w:val="left" w:pos="720"/>
              </w:tabs>
              <w:spacing w:line="360" w:lineRule="auto"/>
              <w:rPr>
                <w:rFonts w:ascii="宋体" w:hAnsi="宋体"/>
                <w:b/>
                <w:color w:val="auto"/>
                <w:sz w:val="32"/>
                <w:szCs w:val="32"/>
                <w:highlight w:val="none"/>
                <w:u w:val="single"/>
              </w:rPr>
            </w:pPr>
            <w:r>
              <w:rPr>
                <w:rFonts w:hint="eastAsia" w:ascii="宋体" w:hAnsi="宋体"/>
                <w:b/>
                <w:color w:val="auto"/>
                <w:sz w:val="32"/>
                <w:szCs w:val="32"/>
                <w:highlight w:val="none"/>
              </w:rPr>
              <w:t>项目编号：</w:t>
            </w:r>
          </w:p>
        </w:tc>
      </w:tr>
      <w:tr w14:paraId="44442580">
        <w:tblPrEx>
          <w:tblCellMar>
            <w:top w:w="0" w:type="dxa"/>
            <w:left w:w="108" w:type="dxa"/>
            <w:bottom w:w="0" w:type="dxa"/>
            <w:right w:w="108" w:type="dxa"/>
          </w:tblCellMar>
        </w:tblPrEx>
        <w:trPr>
          <w:trHeight w:val="446" w:hRule="atLeast"/>
          <w:jc w:val="center"/>
        </w:trPr>
        <w:tc>
          <w:tcPr>
            <w:tcW w:w="5400" w:type="dxa"/>
            <w:noWrap w:val="0"/>
            <w:vAlign w:val="top"/>
          </w:tcPr>
          <w:p w14:paraId="1693FFA2">
            <w:pPr>
              <w:tabs>
                <w:tab w:val="left" w:pos="720"/>
              </w:tabs>
              <w:spacing w:line="360" w:lineRule="auto"/>
              <w:rPr>
                <w:rFonts w:ascii="宋体" w:hAnsi="宋体"/>
                <w:b/>
                <w:color w:val="auto"/>
                <w:sz w:val="32"/>
                <w:szCs w:val="32"/>
                <w:highlight w:val="none"/>
                <w:u w:val="single"/>
              </w:rPr>
            </w:pPr>
          </w:p>
        </w:tc>
      </w:tr>
      <w:tr w14:paraId="1D1B121D">
        <w:tblPrEx>
          <w:tblCellMar>
            <w:top w:w="0" w:type="dxa"/>
            <w:left w:w="108" w:type="dxa"/>
            <w:bottom w:w="0" w:type="dxa"/>
            <w:right w:w="108" w:type="dxa"/>
          </w:tblCellMar>
        </w:tblPrEx>
        <w:trPr>
          <w:trHeight w:val="446" w:hRule="atLeast"/>
          <w:jc w:val="center"/>
        </w:trPr>
        <w:tc>
          <w:tcPr>
            <w:tcW w:w="5400" w:type="dxa"/>
            <w:noWrap w:val="0"/>
            <w:vAlign w:val="top"/>
          </w:tcPr>
          <w:p w14:paraId="5F49EE34">
            <w:pPr>
              <w:tabs>
                <w:tab w:val="left" w:pos="720"/>
              </w:tabs>
              <w:spacing w:line="360" w:lineRule="auto"/>
              <w:rPr>
                <w:rFonts w:ascii="宋体" w:hAnsi="宋体"/>
                <w:b/>
                <w:color w:val="auto"/>
                <w:sz w:val="32"/>
                <w:szCs w:val="32"/>
                <w:highlight w:val="none"/>
              </w:rPr>
            </w:pPr>
            <w:r>
              <w:rPr>
                <w:rFonts w:hint="eastAsia" w:ascii="宋体" w:hAnsi="宋体"/>
                <w:b/>
                <w:color w:val="auto"/>
                <w:sz w:val="32"/>
                <w:szCs w:val="32"/>
                <w:highlight w:val="none"/>
              </w:rPr>
              <w:t>项目名称：</w:t>
            </w:r>
          </w:p>
        </w:tc>
      </w:tr>
      <w:tr w14:paraId="6B06C948">
        <w:tblPrEx>
          <w:tblCellMar>
            <w:top w:w="0" w:type="dxa"/>
            <w:left w:w="108" w:type="dxa"/>
            <w:bottom w:w="0" w:type="dxa"/>
            <w:right w:w="108" w:type="dxa"/>
          </w:tblCellMar>
        </w:tblPrEx>
        <w:trPr>
          <w:trHeight w:val="460" w:hRule="atLeast"/>
          <w:jc w:val="center"/>
        </w:trPr>
        <w:tc>
          <w:tcPr>
            <w:tcW w:w="5400" w:type="dxa"/>
            <w:noWrap w:val="0"/>
            <w:vAlign w:val="top"/>
          </w:tcPr>
          <w:p w14:paraId="0E867A97">
            <w:pPr>
              <w:tabs>
                <w:tab w:val="left" w:pos="720"/>
              </w:tabs>
              <w:spacing w:line="360" w:lineRule="auto"/>
              <w:rPr>
                <w:rFonts w:ascii="宋体" w:hAnsi="宋体"/>
                <w:b/>
                <w:color w:val="auto"/>
                <w:sz w:val="32"/>
                <w:szCs w:val="32"/>
                <w:highlight w:val="none"/>
              </w:rPr>
            </w:pPr>
          </w:p>
          <w:p w14:paraId="7A1F6D05">
            <w:pPr>
              <w:tabs>
                <w:tab w:val="left" w:pos="720"/>
              </w:tabs>
              <w:spacing w:line="360" w:lineRule="auto"/>
              <w:rPr>
                <w:rFonts w:ascii="宋体" w:hAnsi="宋体"/>
                <w:b/>
                <w:color w:val="auto"/>
                <w:sz w:val="32"/>
                <w:szCs w:val="32"/>
                <w:highlight w:val="none"/>
              </w:rPr>
            </w:pPr>
            <w:r>
              <w:rPr>
                <w:rFonts w:hint="eastAsia" w:ascii="宋体" w:hAnsi="宋体"/>
                <w:b/>
                <w:color w:val="auto"/>
                <w:sz w:val="32"/>
                <w:szCs w:val="32"/>
                <w:highlight w:val="none"/>
              </w:rPr>
              <w:t>合同编号：</w:t>
            </w:r>
          </w:p>
        </w:tc>
      </w:tr>
    </w:tbl>
    <w:p w14:paraId="068006CA">
      <w:pPr>
        <w:tabs>
          <w:tab w:val="left" w:pos="720"/>
        </w:tabs>
        <w:spacing w:line="360" w:lineRule="auto"/>
        <w:rPr>
          <w:rFonts w:ascii="宋体" w:hAnsi="宋体"/>
          <w:b/>
          <w:color w:val="auto"/>
          <w:sz w:val="28"/>
          <w:szCs w:val="28"/>
          <w:highlight w:val="none"/>
        </w:rPr>
      </w:pPr>
    </w:p>
    <w:p w14:paraId="3BE0DDB7">
      <w:pPr>
        <w:spacing w:line="360" w:lineRule="auto"/>
        <w:rPr>
          <w:rFonts w:ascii="宋体" w:hAnsi="宋体"/>
          <w:color w:val="auto"/>
          <w:sz w:val="28"/>
          <w:szCs w:val="28"/>
          <w:highlight w:val="none"/>
        </w:rPr>
      </w:pPr>
    </w:p>
    <w:p w14:paraId="6EF7DF4E">
      <w:pPr>
        <w:spacing w:line="360" w:lineRule="auto"/>
        <w:rPr>
          <w:rFonts w:ascii="宋体" w:hAnsi="宋体"/>
          <w:color w:val="auto"/>
          <w:sz w:val="28"/>
          <w:szCs w:val="28"/>
          <w:highlight w:val="none"/>
        </w:rPr>
      </w:pPr>
    </w:p>
    <w:p w14:paraId="49B36BE4">
      <w:pPr>
        <w:rPr>
          <w:rFonts w:ascii="宋体" w:hAnsi="宋体"/>
          <w:b/>
          <w:color w:val="auto"/>
          <w:sz w:val="24"/>
          <w:highlight w:val="none"/>
        </w:rPr>
      </w:pPr>
      <w:r>
        <w:rPr>
          <w:rFonts w:hint="eastAsia" w:ascii="宋体" w:hAnsi="宋体"/>
          <w:b/>
          <w:color w:val="auto"/>
          <w:sz w:val="24"/>
          <w:highlight w:val="none"/>
        </w:rPr>
        <w:t>注：本合同仅为合同的参考文本，合同签订双方可根据项目的具体要求进行修订，但不得偏离实质性条款。如与用户需求有冲突，以用户需求为准。</w:t>
      </w:r>
    </w:p>
    <w:p w14:paraId="1CC4BFF6">
      <w:pPr>
        <w:tabs>
          <w:tab w:val="left" w:pos="720"/>
        </w:tabs>
        <w:spacing w:line="360" w:lineRule="auto"/>
        <w:rPr>
          <w:rFonts w:ascii="宋体" w:hAnsi="宋体"/>
          <w:b/>
          <w:color w:val="auto"/>
          <w:sz w:val="28"/>
          <w:szCs w:val="28"/>
          <w:highlight w:val="none"/>
        </w:rPr>
      </w:pPr>
    </w:p>
    <w:p w14:paraId="0F74A79F">
      <w:pPr>
        <w:spacing w:line="360" w:lineRule="auto"/>
        <w:jc w:val="center"/>
        <w:rPr>
          <w:rFonts w:ascii="宋体" w:hAnsi="宋体"/>
          <w:b/>
          <w:color w:val="auto"/>
          <w:kern w:val="0"/>
          <w:sz w:val="28"/>
          <w:szCs w:val="28"/>
          <w:highlight w:val="none"/>
        </w:rPr>
      </w:pPr>
    </w:p>
    <w:p w14:paraId="6C79D056">
      <w:pPr>
        <w:spacing w:line="360" w:lineRule="auto"/>
        <w:jc w:val="center"/>
        <w:rPr>
          <w:rFonts w:ascii="宋体" w:hAnsi="宋体"/>
          <w:b/>
          <w:color w:val="auto"/>
          <w:kern w:val="0"/>
          <w:sz w:val="28"/>
          <w:szCs w:val="28"/>
          <w:highlight w:val="none"/>
        </w:rPr>
      </w:pPr>
    </w:p>
    <w:p w14:paraId="6B0A0AB7">
      <w:pPr>
        <w:spacing w:line="360" w:lineRule="auto"/>
        <w:jc w:val="both"/>
        <w:rPr>
          <w:rFonts w:hint="default" w:ascii="宋体" w:hAnsi="宋体" w:cs="宋体"/>
          <w:b/>
          <w:color w:val="auto"/>
          <w:sz w:val="24"/>
          <w:szCs w:val="24"/>
          <w:highlight w:val="none"/>
          <w:lang w:val="en-US"/>
        </w:rPr>
      </w:pPr>
    </w:p>
    <w:p w14:paraId="78CD2622">
      <w:pPr>
        <w:pStyle w:val="10"/>
        <w:rPr>
          <w:rFonts w:hint="default" w:ascii="宋体" w:hAnsi="宋体" w:cs="宋体"/>
          <w:b/>
          <w:color w:val="auto"/>
          <w:sz w:val="24"/>
          <w:szCs w:val="24"/>
          <w:highlight w:val="none"/>
          <w:lang w:val="en-US"/>
        </w:rPr>
      </w:pPr>
    </w:p>
    <w:p w14:paraId="33AFA1A2">
      <w:pPr>
        <w:rPr>
          <w:rFonts w:hint="default" w:ascii="宋体" w:hAnsi="宋体" w:cs="宋体"/>
          <w:b/>
          <w:color w:val="auto"/>
          <w:sz w:val="24"/>
          <w:szCs w:val="24"/>
          <w:highlight w:val="none"/>
          <w:lang w:val="en-US"/>
        </w:rPr>
      </w:pPr>
    </w:p>
    <w:p w14:paraId="71221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甲方：中山市中医院</w:t>
      </w:r>
    </w:p>
    <w:p w14:paraId="45E196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w:t>
      </w:r>
      <w:r>
        <w:rPr>
          <w:rFonts w:hint="eastAsia" w:ascii="宋体" w:hAnsi="宋体" w:eastAsia="宋体" w:cs="宋体"/>
          <w:color w:val="auto"/>
          <w:sz w:val="21"/>
          <w:szCs w:val="21"/>
          <w:highlight w:val="none"/>
        </w:rPr>
        <w:t xml:space="preserve">                                 </w:t>
      </w:r>
    </w:p>
    <w:p w14:paraId="6DE716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根据《中华人民共和国政府采购法》《中华人民共和国民法典》及中山市中医院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项目招标结果和招投标文件（招标项目编号：       ）的要求，经双方协商一致，签订本合同。</w:t>
      </w:r>
    </w:p>
    <w:p w14:paraId="21064D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项目内容与要求</w:t>
      </w:r>
    </w:p>
    <w:p w14:paraId="713A0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项目内容</w:t>
      </w:r>
    </w:p>
    <w:p w14:paraId="1DDF03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项目实施地点：中山市中医院使用科室。</w:t>
      </w:r>
    </w:p>
    <w:p w14:paraId="1E3197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项目建设内容</w:t>
      </w:r>
    </w:p>
    <w:p w14:paraId="2405D2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项目建设要求</w:t>
      </w:r>
    </w:p>
    <w:p w14:paraId="49D397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项目建设目标</w:t>
      </w:r>
    </w:p>
    <w:p w14:paraId="1C8687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667BC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项目实施管理</w:t>
      </w:r>
    </w:p>
    <w:p w14:paraId="519C1164">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2AC41B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项目交付与验收</w:t>
      </w:r>
    </w:p>
    <w:p w14:paraId="66F7D2A2">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6CB2A0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项目培训</w:t>
      </w:r>
    </w:p>
    <w:p w14:paraId="42B9AAC4">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073F8E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信息系统的保修与维护</w:t>
      </w:r>
    </w:p>
    <w:p w14:paraId="1854E0F0">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34468A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 知识产权与保密义务</w:t>
      </w:r>
    </w:p>
    <w:p w14:paraId="70A99D4B">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1F8660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甲乙双方权利义务</w:t>
      </w:r>
    </w:p>
    <w:p w14:paraId="4434273B">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08AAB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 违约责任及索赔</w:t>
      </w:r>
    </w:p>
    <w:p w14:paraId="27C07D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50AF88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9.不可抗力</w:t>
      </w:r>
    </w:p>
    <w:p w14:paraId="52FEC8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不可抗力指战争、严重火灾、洪水、台风、地震等或其它双方认定的不可抗力事件。</w:t>
      </w:r>
    </w:p>
    <w:p w14:paraId="469FFB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签约双方中任何一方由于不可抗力影响合同执行时，发生不可抗力一方应尽快将事故通知另一方。在此情况下，乙方仍然有责任采取必要的措施加速完成项目，双方应通过友好协商尽快解决本合同的执行问题。</w:t>
      </w:r>
    </w:p>
    <w:p w14:paraId="29E78E72">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65FD86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 合同终止</w:t>
      </w:r>
    </w:p>
    <w:p w14:paraId="1D11FE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如果一方严重违反合同，并在收到对方违约通知书后在30天内仍未能改正违约的，另一方可立即终止本合同。</w:t>
      </w:r>
    </w:p>
    <w:p w14:paraId="5E2379CC">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7DCA4F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争议解决的方法</w:t>
      </w:r>
    </w:p>
    <w:p w14:paraId="69323E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签约双方在履约中发生争执和分歧，双方应通过友好协商解决，若经协商不能达成协议时，则向甲方所在地人民法院提起诉讼。受理期间，双方应继续执行合同其余无争议部分。</w:t>
      </w:r>
    </w:p>
    <w:p w14:paraId="635627F2">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210A07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 合同组成部分</w:t>
      </w:r>
    </w:p>
    <w:p w14:paraId="23EF2D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bookmarkStart w:id="1" w:name="OLE_LINK3"/>
      <w:r>
        <w:rPr>
          <w:rFonts w:hint="eastAsia" w:ascii="宋体" w:hAnsi="宋体" w:eastAsia="宋体" w:cs="宋体"/>
          <w:color w:val="auto"/>
          <w:sz w:val="21"/>
          <w:szCs w:val="21"/>
          <w:highlight w:val="none"/>
        </w:rPr>
        <w:t>12.1合同附件、招标文件、投标文件、中标通知书均为合同的不可分割的组成部分，与合同具有同等法律效力。</w:t>
      </w:r>
    </w:p>
    <w:p w14:paraId="783890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在执行本合同的过程中，经双方签署的文件（包括会议纪要、补充协议等）即成为本合同的有效组成部分，其生效日期为双方签字盖章或确认之日期。</w:t>
      </w:r>
    </w:p>
    <w:p w14:paraId="2D02CD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除甲方事先以书面形式确认同意外，乙方不得部分或全部转让其应履行的合同项下的义务。</w:t>
      </w:r>
      <w:bookmarkEnd w:id="1"/>
    </w:p>
    <w:p w14:paraId="4F0985C8">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6EFF26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其他</w:t>
      </w:r>
    </w:p>
    <w:p w14:paraId="6DB1AB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13.1本合同式肆份，具有同等法律效力，甲方执贰份、乙方执壹份，招标代理机构壹份。合同自签字之日起即时生效。</w:t>
      </w:r>
    </w:p>
    <w:p w14:paraId="3F206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本合同未尽事宜，由双方协商处理。</w:t>
      </w:r>
    </w:p>
    <w:p w14:paraId="1FBCC2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（以下为签字页，无正文）</w:t>
      </w:r>
    </w:p>
    <w:p w14:paraId="22795A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甲方：中山市中医院                      乙方：</w:t>
      </w:r>
    </w:p>
    <w:p w14:paraId="472266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24A26BA5">
      <w:pPr>
        <w:keepNext w:val="0"/>
        <w:keepLines w:val="0"/>
        <w:pageBreakBefore w:val="0"/>
        <w:widowControl w:val="0"/>
        <w:kinsoku/>
        <w:wordWrap/>
        <w:overflowPunct/>
        <w:topLinePunct w:val="0"/>
        <w:autoSpaceDE/>
        <w:autoSpaceDN/>
        <w:bidi w:val="0"/>
        <w:adjustRightInd/>
        <w:snapToGrid/>
        <w:spacing w:line="240" w:lineRule="auto"/>
        <w:ind w:left="5280" w:hanging="4620" w:hangingChars="2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中山市西区康欣路3号             地址： </w:t>
      </w:r>
    </w:p>
    <w:p w14:paraId="604BC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电话：  </w:t>
      </w:r>
    </w:p>
    <w:p w14:paraId="3A48CD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传真： </w:t>
      </w:r>
    </w:p>
    <w:p w14:paraId="0EC5BB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     年   月   日</w:t>
      </w:r>
    </w:p>
    <w:p w14:paraId="5D6E5553">
      <w:pPr>
        <w:pStyle w:val="4"/>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7"/>
        <w:numPr>
          <w:ilvl w:val="0"/>
          <w:numId w:val="4"/>
        </w:numPr>
        <w:ind w:left="630" w:leftChars="0" w:firstLineChars="0"/>
        <w:outlineLvl w:val="1"/>
        <w:rPr>
          <w:rFonts w:hint="eastAsia"/>
          <w:b/>
          <w:bCs/>
          <w:highlight w:val="none"/>
        </w:rPr>
      </w:pPr>
      <w:bookmarkStart w:id="2" w:name="_Toc131270561"/>
      <w:r>
        <w:rPr>
          <w:rFonts w:hint="eastAsia"/>
          <w:b/>
          <w:bCs/>
          <w:highlight w:val="none"/>
        </w:rPr>
        <w:t>法定代表人证明书</w:t>
      </w:r>
      <w:bookmarkEnd w:id="2"/>
    </w:p>
    <w:p w14:paraId="5FE5905B">
      <w:pPr>
        <w:pStyle w:val="37"/>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7"/>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10"/>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10"/>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10"/>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10"/>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10"/>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10"/>
        <w:tabs>
          <w:tab w:val="left" w:pos="1020"/>
          <w:tab w:val="left" w:pos="3223"/>
          <w:tab w:val="left" w:pos="3947"/>
          <w:tab w:val="left" w:pos="7064"/>
        </w:tabs>
        <w:spacing w:line="480" w:lineRule="auto"/>
        <w:ind w:right="-35"/>
        <w:rPr>
          <w:rFonts w:hint="eastAsia"/>
          <w:sz w:val="24"/>
          <w:highlight w:val="none"/>
        </w:rPr>
      </w:pPr>
    </w:p>
    <w:p w14:paraId="5B75492E">
      <w:pPr>
        <w:pStyle w:val="10"/>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10"/>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10"/>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10"/>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10"/>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7"/>
        <w:ind w:firstLine="0" w:firstLineChars="0"/>
        <w:rPr>
          <w:rFonts w:hint="eastAsia"/>
          <w:sz w:val="21"/>
          <w:szCs w:val="21"/>
          <w:highlight w:val="none"/>
        </w:rPr>
      </w:pPr>
    </w:p>
    <w:p w14:paraId="352940D0">
      <w:pPr>
        <w:rPr>
          <w:rFonts w:hint="eastAsia"/>
          <w:b/>
          <w:sz w:val="24"/>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7"/>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7"/>
        <w:numPr>
          <w:ilvl w:val="0"/>
          <w:numId w:val="4"/>
        </w:numPr>
        <w:ind w:left="630" w:leftChars="0" w:firstLineChars="0"/>
        <w:outlineLvl w:val="1"/>
        <w:rPr>
          <w:rFonts w:hint="eastAsia"/>
          <w:b/>
          <w:bCs/>
          <w:highlight w:val="none"/>
        </w:rPr>
      </w:pPr>
      <w:bookmarkStart w:id="3" w:name="_Toc131270562"/>
      <w:r>
        <w:rPr>
          <w:rFonts w:hint="eastAsia"/>
          <w:b/>
          <w:bCs/>
          <w:highlight w:val="none"/>
        </w:rPr>
        <w:t>法定代表人授权书</w:t>
      </w:r>
      <w:bookmarkEnd w:id="3"/>
    </w:p>
    <w:p w14:paraId="0AC85283">
      <w:pPr>
        <w:pStyle w:val="37"/>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7"/>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10"/>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10"/>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10"/>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7"/>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22"/>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7"/>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7"/>
        <w:tabs>
          <w:tab w:val="decimal" w:pos="315"/>
          <w:tab w:val="left" w:pos="630"/>
        </w:tabs>
        <w:ind w:firstLine="422"/>
        <w:rPr>
          <w:rFonts w:hint="eastAsia"/>
          <w:b/>
          <w:bCs/>
          <w:sz w:val="21"/>
          <w:szCs w:val="21"/>
          <w:highlight w:val="none"/>
        </w:rPr>
      </w:pPr>
    </w:p>
    <w:p w14:paraId="27D55E85">
      <w:pPr>
        <w:pStyle w:val="37"/>
        <w:tabs>
          <w:tab w:val="decimal" w:pos="315"/>
          <w:tab w:val="left" w:pos="630"/>
        </w:tabs>
        <w:ind w:firstLine="422"/>
        <w:rPr>
          <w:rFonts w:hint="eastAsia"/>
          <w:b/>
          <w:bCs/>
          <w:sz w:val="21"/>
          <w:szCs w:val="21"/>
          <w:highlight w:val="none"/>
        </w:rPr>
      </w:pPr>
    </w:p>
    <w:p w14:paraId="2EE67AD3">
      <w:pPr>
        <w:pStyle w:val="37"/>
        <w:tabs>
          <w:tab w:val="decimal" w:pos="315"/>
          <w:tab w:val="left" w:pos="630"/>
        </w:tabs>
        <w:ind w:firstLine="422"/>
        <w:rPr>
          <w:rFonts w:hint="eastAsia"/>
          <w:b/>
          <w:bCs/>
          <w:sz w:val="21"/>
          <w:szCs w:val="21"/>
          <w:highlight w:val="none"/>
        </w:rPr>
      </w:pPr>
    </w:p>
    <w:p w14:paraId="1F804BB2">
      <w:pPr>
        <w:pStyle w:val="37"/>
        <w:numPr>
          <w:ilvl w:val="0"/>
          <w:numId w:val="4"/>
        </w:numPr>
        <w:ind w:left="630" w:leftChars="0" w:firstLineChars="0"/>
        <w:outlineLvl w:val="1"/>
        <w:rPr>
          <w:rFonts w:hint="eastAsia"/>
          <w:b/>
          <w:bCs/>
          <w:highlight w:val="none"/>
        </w:rPr>
      </w:pPr>
      <w:bookmarkStart w:id="4" w:name="_Toc131270559"/>
      <w:r>
        <w:rPr>
          <w:rFonts w:hint="eastAsia"/>
          <w:b/>
          <w:bCs/>
          <w:highlight w:val="none"/>
        </w:rPr>
        <w:t>报价表</w:t>
      </w:r>
      <w:bookmarkEnd w:id="4"/>
    </w:p>
    <w:p w14:paraId="18C9E9F4">
      <w:pPr>
        <w:pStyle w:val="12"/>
        <w:spacing w:line="276" w:lineRule="auto"/>
        <w:jc w:val="left"/>
        <w:rPr>
          <w:rFonts w:asciiTheme="majorEastAsia" w:hAnsiTheme="majorEastAsia" w:eastAsiaTheme="majorEastAsia" w:cstheme="majorEastAsia"/>
          <w:bCs/>
          <w:sz w:val="21"/>
        </w:rPr>
      </w:pPr>
      <w:r>
        <w:rPr>
          <w:rFonts w:hint="eastAsia" w:asciiTheme="majorEastAsia" w:hAnsiTheme="majorEastAsia" w:eastAsiaTheme="majorEastAsia" w:cstheme="majorEastAsia"/>
          <w:sz w:val="21"/>
        </w:rPr>
        <w:t>项目名称：</w:t>
      </w:r>
      <w:r>
        <w:rPr>
          <w:rFonts w:hint="eastAsia" w:asciiTheme="majorEastAsia" w:hAnsiTheme="majorEastAsia" w:eastAsiaTheme="majorEastAsia" w:cstheme="majorEastAsia"/>
          <w:sz w:val="21"/>
          <w:u w:val="single"/>
        </w:rPr>
        <w:t xml:space="preserve">                           </w:t>
      </w:r>
      <w:r>
        <w:rPr>
          <w:rFonts w:hint="eastAsia" w:asciiTheme="majorEastAsia" w:hAnsiTheme="majorEastAsia" w:eastAsiaTheme="majorEastAsia" w:cstheme="majorEastAsia"/>
          <w:sz w:val="21"/>
        </w:rPr>
        <w:t xml:space="preserve">      项目编号：</w:t>
      </w:r>
      <w:r>
        <w:rPr>
          <w:rFonts w:hint="eastAsia" w:asciiTheme="majorEastAsia" w:hAnsiTheme="majorEastAsia" w:eastAsiaTheme="majorEastAsia" w:cstheme="majorEastAsia"/>
          <w:sz w:val="21"/>
          <w:u w:val="single"/>
        </w:rPr>
        <w:t xml:space="preserve">                           </w:t>
      </w:r>
      <w:r>
        <w:rPr>
          <w:rFonts w:hint="eastAsia" w:asciiTheme="majorEastAsia" w:hAnsiTheme="majorEastAsia" w:eastAsiaTheme="majorEastAsia" w:cstheme="majorEastAsia"/>
          <w:sz w:val="21"/>
        </w:rPr>
        <w:t xml:space="preserve">        </w:t>
      </w:r>
      <w:r>
        <w:rPr>
          <w:rFonts w:hint="eastAsia" w:asciiTheme="majorEastAsia" w:hAnsiTheme="majorEastAsia" w:eastAsiaTheme="majorEastAsia" w:cstheme="majorEastAsia"/>
          <w:bCs/>
          <w:sz w:val="21"/>
        </w:rPr>
        <w:t xml:space="preserve">  </w:t>
      </w:r>
    </w:p>
    <w:tbl>
      <w:tblPr>
        <w:tblStyle w:val="22"/>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139"/>
        <w:gridCol w:w="3972"/>
        <w:gridCol w:w="1286"/>
      </w:tblGrid>
      <w:tr w14:paraId="38BD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81" w:type="dxa"/>
            <w:vAlign w:val="center"/>
          </w:tcPr>
          <w:p w14:paraId="50163605">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序号</w:t>
            </w:r>
          </w:p>
        </w:tc>
        <w:tc>
          <w:tcPr>
            <w:tcW w:w="3139" w:type="dxa"/>
            <w:vAlign w:val="center"/>
          </w:tcPr>
          <w:p w14:paraId="272FCF6C">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项目名称</w:t>
            </w:r>
          </w:p>
        </w:tc>
        <w:tc>
          <w:tcPr>
            <w:tcW w:w="3972" w:type="dxa"/>
            <w:vAlign w:val="center"/>
          </w:tcPr>
          <w:p w14:paraId="6B672AD2">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投标</w:t>
            </w:r>
            <w:r>
              <w:rPr>
                <w:rFonts w:hint="eastAsia" w:asciiTheme="minorEastAsia" w:hAnsiTheme="minorEastAsia" w:eastAsiaTheme="minorEastAsia"/>
                <w:b/>
                <w:color w:val="000000"/>
                <w:szCs w:val="21"/>
                <w:lang w:val="en-US" w:eastAsia="zh-CN"/>
              </w:rPr>
              <w:t>报价</w:t>
            </w:r>
          </w:p>
        </w:tc>
        <w:tc>
          <w:tcPr>
            <w:tcW w:w="1286" w:type="dxa"/>
            <w:vAlign w:val="center"/>
          </w:tcPr>
          <w:p w14:paraId="73FB197B">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备注</w:t>
            </w:r>
          </w:p>
        </w:tc>
      </w:tr>
      <w:tr w14:paraId="2B08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1" w:type="dxa"/>
            <w:vAlign w:val="center"/>
          </w:tcPr>
          <w:p w14:paraId="3B907B86">
            <w:pPr>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3139" w:type="dxa"/>
            <w:vAlign w:val="center"/>
          </w:tcPr>
          <w:p w14:paraId="3D8C729C">
            <w:pPr>
              <w:tabs>
                <w:tab w:val="left" w:pos="837"/>
              </w:tabs>
              <w:spacing w:line="400" w:lineRule="exact"/>
              <w:ind w:right="-108"/>
              <w:jc w:val="center"/>
              <w:rPr>
                <w:rFonts w:asciiTheme="minorEastAsia" w:hAnsiTheme="minorEastAsia" w:eastAsiaTheme="minorEastAsia"/>
                <w:szCs w:val="21"/>
                <w:lang w:val="zh-CN"/>
              </w:rPr>
            </w:pPr>
          </w:p>
        </w:tc>
        <w:tc>
          <w:tcPr>
            <w:tcW w:w="3972" w:type="dxa"/>
            <w:vAlign w:val="center"/>
          </w:tcPr>
          <w:p w14:paraId="29445C74">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w:t>
            </w:r>
          </w:p>
        </w:tc>
        <w:tc>
          <w:tcPr>
            <w:tcW w:w="1286" w:type="dxa"/>
            <w:vAlign w:val="center"/>
          </w:tcPr>
          <w:p w14:paraId="3A0C0B62">
            <w:pPr>
              <w:spacing w:line="400" w:lineRule="exact"/>
              <w:jc w:val="center"/>
              <w:rPr>
                <w:rFonts w:asciiTheme="minorEastAsia" w:hAnsiTheme="minorEastAsia" w:eastAsiaTheme="minorEastAsia"/>
                <w:color w:val="000000"/>
                <w:szCs w:val="21"/>
              </w:rPr>
            </w:pPr>
          </w:p>
        </w:tc>
      </w:tr>
    </w:tbl>
    <w:p w14:paraId="5CB50E62">
      <w:pPr>
        <w:spacing w:line="4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p w14:paraId="7BD288D9">
      <w:pPr>
        <w:pStyle w:val="12"/>
        <w:spacing w:line="276" w:lineRule="auto"/>
        <w:jc w:val="left"/>
        <w:rPr>
          <w:rFonts w:asciiTheme="majorEastAsia" w:hAnsiTheme="majorEastAsia" w:eastAsiaTheme="majorEastAsia" w:cstheme="majorEastAsia"/>
          <w:sz w:val="21"/>
        </w:rPr>
      </w:pPr>
      <w:r>
        <w:rPr>
          <w:rFonts w:hint="eastAsia" w:asciiTheme="majorEastAsia" w:hAnsiTheme="majorEastAsia" w:eastAsiaTheme="majorEastAsia" w:cstheme="majorEastAsia"/>
          <w:kern w:val="0"/>
          <w:sz w:val="21"/>
          <w:lang w:val="en-US" w:eastAsia="zh-CN"/>
        </w:rPr>
        <w:t>1</w:t>
      </w:r>
      <w:r>
        <w:rPr>
          <w:rFonts w:hint="eastAsia" w:asciiTheme="majorEastAsia" w:hAnsiTheme="majorEastAsia" w:eastAsiaTheme="majorEastAsia" w:cstheme="majorEastAsia"/>
          <w:kern w:val="0"/>
          <w:sz w:val="21"/>
        </w:rPr>
        <w:t xml:space="preserve">. </w:t>
      </w:r>
      <w:r>
        <w:rPr>
          <w:rFonts w:hint="eastAsia" w:asciiTheme="majorEastAsia" w:hAnsiTheme="majorEastAsia" w:eastAsiaTheme="majorEastAsia" w:cstheme="majorEastAsia"/>
          <w:kern w:val="0"/>
          <w:sz w:val="21"/>
          <w:lang w:val="en-US" w:eastAsia="zh-CN"/>
        </w:rPr>
        <w:t>本项目服务费用采用费率报价形式，服务费按采购价一定比例计算，报服务费率数值。</w:t>
      </w:r>
      <w:r>
        <w:rPr>
          <w:rFonts w:hint="eastAsia" w:asciiTheme="majorEastAsia" w:hAnsiTheme="majorEastAsia" w:eastAsiaTheme="majorEastAsia" w:cstheme="majorEastAsia"/>
          <w:sz w:val="21"/>
        </w:rPr>
        <w:t xml:space="preserve">  </w:t>
      </w:r>
    </w:p>
    <w:p w14:paraId="70E3DDDA">
      <w:pPr>
        <w:pStyle w:val="12"/>
        <w:spacing w:line="276" w:lineRule="auto"/>
        <w:jc w:val="left"/>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 xml:space="preserve"> </w:t>
      </w:r>
    </w:p>
    <w:p w14:paraId="41D03A0E">
      <w:pPr>
        <w:pStyle w:val="12"/>
        <w:spacing w:line="276" w:lineRule="auto"/>
        <w:jc w:val="left"/>
        <w:rPr>
          <w:rFonts w:asciiTheme="majorEastAsia" w:hAnsiTheme="majorEastAsia" w:eastAsiaTheme="majorEastAsia" w:cstheme="majorEastAsia"/>
          <w:sz w:val="21"/>
        </w:rPr>
      </w:pPr>
    </w:p>
    <w:p w14:paraId="45F71ED6">
      <w:pPr>
        <w:spacing w:line="276" w:lineRule="auto"/>
        <w:rPr>
          <w:rFonts w:asciiTheme="majorEastAsia" w:hAnsiTheme="majorEastAsia" w:eastAsiaTheme="majorEastAsia" w:cstheme="majorEastAsia"/>
          <w:szCs w:val="21"/>
        </w:rPr>
      </w:pPr>
    </w:p>
    <w:p w14:paraId="42C6082F">
      <w:pPr>
        <w:widowControl/>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lang w:val="en-US" w:eastAsia="zh-CN"/>
        </w:rPr>
        <w:t>响应</w:t>
      </w:r>
      <w:r>
        <w:rPr>
          <w:rFonts w:hint="eastAsia" w:asciiTheme="majorEastAsia" w:hAnsiTheme="majorEastAsia" w:eastAsiaTheme="majorEastAsia" w:cstheme="majorEastAsia"/>
          <w:b/>
          <w:sz w:val="24"/>
        </w:rPr>
        <w:t>人认为需要涉及的其他内容报价清单</w:t>
      </w:r>
    </w:p>
    <w:p w14:paraId="61D83231">
      <w:pPr>
        <w:spacing w:line="360" w:lineRule="auto"/>
        <w:rPr>
          <w:rFonts w:hint="eastAsia" w:asciiTheme="minorEastAsia" w:hAnsiTheme="minorEastAsia" w:eastAsiaTheme="minorEastAsia" w:cstheme="minorEastAsia"/>
          <w:color w:val="auto"/>
          <w:highlight w:val="none"/>
        </w:rPr>
      </w:pPr>
    </w:p>
    <w:p w14:paraId="1081EB83">
      <w:pPr>
        <w:spacing w:line="360" w:lineRule="auto"/>
        <w:rPr>
          <w:rFonts w:hint="eastAsia" w:asciiTheme="minorEastAsia" w:hAnsiTheme="minorEastAsia" w:eastAsiaTheme="minorEastAsia" w:cstheme="minorEastAsia"/>
          <w:color w:val="auto"/>
          <w:highlight w:val="none"/>
        </w:rPr>
      </w:pPr>
    </w:p>
    <w:p w14:paraId="17B9263C">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1921CF56">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16DE0E14">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39B02347">
      <w:pPr>
        <w:spacing w:line="360" w:lineRule="auto"/>
        <w:ind w:left="420" w:leftChars="200"/>
        <w:rPr>
          <w:highlight w:val="none"/>
        </w:rPr>
      </w:pPr>
      <w:r>
        <w:rPr>
          <w:rFonts w:hint="eastAsia" w:asciiTheme="minorEastAsia" w:hAnsiTheme="minorEastAsia" w:eastAsiaTheme="minorEastAsia" w:cstheme="minorEastAsia"/>
          <w:color w:val="auto"/>
          <w:highlight w:val="none"/>
        </w:rPr>
        <w:br w:type="page"/>
      </w:r>
    </w:p>
    <w:p w14:paraId="560DB323">
      <w:pPr>
        <w:pStyle w:val="37"/>
        <w:numPr>
          <w:ilvl w:val="0"/>
          <w:numId w:val="4"/>
        </w:numPr>
        <w:ind w:left="630" w:leftChars="0" w:firstLineChars="0"/>
        <w:outlineLvl w:val="1"/>
        <w:rPr>
          <w:rFonts w:hint="eastAsia" w:asciiTheme="minorEastAsia" w:hAnsiTheme="minorEastAsia" w:eastAsiaTheme="minorEastAsia" w:cstheme="minorEastAsia"/>
          <w:b/>
          <w:bCs/>
          <w:color w:val="auto"/>
          <w:highlight w:val="none"/>
        </w:rPr>
      </w:pPr>
      <w:r>
        <w:rPr>
          <w:rFonts w:hint="default" w:ascii="Times New Roman" w:hAnsi="Times New Roman" w:eastAsia="宋体" w:cs="Times New Roman"/>
          <w:b/>
          <w:bCs/>
          <w:highlight w:val="none"/>
          <w:lang w:val="en-US" w:eastAsia="zh-CN"/>
        </w:rPr>
        <w:t>需求响应表</w:t>
      </w:r>
    </w:p>
    <w:p w14:paraId="41A362B0">
      <w:pPr>
        <w:pStyle w:val="37"/>
        <w:numPr>
          <w:ilvl w:val="0"/>
          <w:numId w:val="0"/>
        </w:numPr>
        <w:ind w:left="210" w:leftChars="0"/>
        <w:jc w:val="center"/>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一</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szCs w:val="24"/>
          <w:highlight w:val="none"/>
          <w:lang w:eastAsia="zh-CN"/>
        </w:rPr>
        <w:t>条款响应表</w:t>
      </w:r>
    </w:p>
    <w:p w14:paraId="46A93A71">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w:t>
      </w:r>
      <w:r>
        <w:rPr>
          <w:rFonts w:hint="eastAsia" w:ascii="宋体" w:hAnsi="宋体" w:eastAsia="宋体" w:cs="宋体"/>
          <w:b/>
          <w:bCs/>
          <w:color w:val="auto"/>
          <w:highlight w:val="none"/>
          <w:lang w:eastAsia="zh-CN"/>
        </w:rPr>
        <w:t>00</w:t>
      </w:r>
      <w:r>
        <w:rPr>
          <w:rFonts w:hint="eastAsia" w:ascii="宋体" w:hAnsi="宋体" w:cs="宋体"/>
          <w:b/>
          <w:bCs/>
          <w:color w:val="auto"/>
          <w:highlight w:val="none"/>
          <w:lang w:val="en-US" w:eastAsia="zh-CN"/>
        </w:rPr>
        <w:t>1</w:t>
      </w:r>
    </w:p>
    <w:p w14:paraId="2D226287">
      <w:pPr>
        <w:spacing w:line="500" w:lineRule="exact"/>
        <w:jc w:val="both"/>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eastAsia="宋体" w:cs="宋体"/>
          <w:b/>
          <w:bCs/>
          <w:color w:val="auto"/>
          <w:highlight w:val="none"/>
          <w:lang w:eastAsia="zh-CN"/>
        </w:rPr>
        <w:t>中山市中医院“港澳药械通”临床急需药械供应商遴选项目</w:t>
      </w:r>
    </w:p>
    <w:p w14:paraId="311B7D4F">
      <w:pPr>
        <w:bidi w:val="0"/>
        <w:rPr>
          <w:rFonts w:hint="eastAsia"/>
          <w:color w:val="auto"/>
          <w:highlight w:val="none"/>
        </w:rPr>
      </w:pP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77"/>
        <w:gridCol w:w="1551"/>
        <w:gridCol w:w="2243"/>
        <w:gridCol w:w="1628"/>
        <w:gridCol w:w="1665"/>
      </w:tblGrid>
      <w:tr w14:paraId="4C4E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A2C9E8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841" w:type="pct"/>
            <w:vAlign w:val="center"/>
          </w:tcPr>
          <w:p w14:paraId="574DFE7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val="en-US" w:eastAsia="zh-CN"/>
              </w:rPr>
              <w:t>遴选需求</w:t>
            </w:r>
          </w:p>
        </w:tc>
        <w:tc>
          <w:tcPr>
            <w:tcW w:w="827" w:type="pct"/>
            <w:vAlign w:val="center"/>
          </w:tcPr>
          <w:p w14:paraId="6816AAA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实际</w:t>
            </w:r>
            <w:r>
              <w:rPr>
                <w:rFonts w:hint="eastAsia" w:asciiTheme="minorEastAsia" w:hAnsiTheme="minorEastAsia" w:eastAsiaTheme="minorEastAsia" w:cstheme="minorEastAsia"/>
                <w:b/>
                <w:bCs/>
                <w:color w:val="auto"/>
                <w:kern w:val="2"/>
                <w:highlight w:val="none"/>
                <w:lang w:eastAsia="zh-CN"/>
              </w:rPr>
              <w:t>响应</w:t>
            </w:r>
          </w:p>
        </w:tc>
        <w:tc>
          <w:tcPr>
            <w:tcW w:w="1196" w:type="pct"/>
            <w:vAlign w:val="center"/>
          </w:tcPr>
          <w:p w14:paraId="21230C56">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是否偏离（无偏离/正偏离/负偏离）</w:t>
            </w:r>
          </w:p>
        </w:tc>
        <w:tc>
          <w:tcPr>
            <w:tcW w:w="868" w:type="pct"/>
            <w:vAlign w:val="center"/>
          </w:tcPr>
          <w:p w14:paraId="20B9F3C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偏离简述</w:t>
            </w:r>
          </w:p>
        </w:tc>
        <w:tc>
          <w:tcPr>
            <w:tcW w:w="888" w:type="pct"/>
            <w:vAlign w:val="center"/>
          </w:tcPr>
          <w:p w14:paraId="4CE352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474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7DDFBC60">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1</w:t>
            </w:r>
          </w:p>
        </w:tc>
        <w:tc>
          <w:tcPr>
            <w:tcW w:w="841" w:type="pct"/>
          </w:tcPr>
          <w:p w14:paraId="30E93174">
            <w:pPr>
              <w:rPr>
                <w:rFonts w:hint="eastAsia" w:asciiTheme="minorEastAsia" w:hAnsiTheme="minorEastAsia" w:eastAsiaTheme="minorEastAsia" w:cstheme="minorEastAsia"/>
                <w:color w:val="auto"/>
                <w:kern w:val="2"/>
                <w:highlight w:val="none"/>
              </w:rPr>
            </w:pPr>
          </w:p>
        </w:tc>
        <w:tc>
          <w:tcPr>
            <w:tcW w:w="827" w:type="pct"/>
          </w:tcPr>
          <w:p w14:paraId="1FA5EB1A">
            <w:pPr>
              <w:rPr>
                <w:rFonts w:hint="eastAsia" w:asciiTheme="minorEastAsia" w:hAnsiTheme="minorEastAsia" w:eastAsiaTheme="minorEastAsia" w:cstheme="minorEastAsia"/>
                <w:color w:val="auto"/>
                <w:kern w:val="2"/>
                <w:highlight w:val="none"/>
              </w:rPr>
            </w:pPr>
          </w:p>
        </w:tc>
        <w:tc>
          <w:tcPr>
            <w:tcW w:w="1196" w:type="pct"/>
          </w:tcPr>
          <w:p w14:paraId="5424986C">
            <w:pPr>
              <w:rPr>
                <w:rFonts w:hint="eastAsia" w:asciiTheme="minorEastAsia" w:hAnsiTheme="minorEastAsia" w:eastAsiaTheme="minorEastAsia" w:cstheme="minorEastAsia"/>
                <w:color w:val="auto"/>
                <w:kern w:val="2"/>
                <w:highlight w:val="none"/>
              </w:rPr>
            </w:pPr>
          </w:p>
        </w:tc>
        <w:tc>
          <w:tcPr>
            <w:tcW w:w="868" w:type="pct"/>
          </w:tcPr>
          <w:p w14:paraId="3A3778C9">
            <w:pPr>
              <w:rPr>
                <w:rFonts w:hint="eastAsia" w:asciiTheme="minorEastAsia" w:hAnsiTheme="minorEastAsia" w:eastAsiaTheme="minorEastAsia" w:cstheme="minorEastAsia"/>
                <w:color w:val="auto"/>
                <w:kern w:val="2"/>
                <w:highlight w:val="none"/>
              </w:rPr>
            </w:pPr>
          </w:p>
        </w:tc>
        <w:tc>
          <w:tcPr>
            <w:tcW w:w="888" w:type="pct"/>
            <w:vAlign w:val="center"/>
          </w:tcPr>
          <w:p w14:paraId="3BDCAC2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6A6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22BEEF9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2</w:t>
            </w:r>
          </w:p>
        </w:tc>
        <w:tc>
          <w:tcPr>
            <w:tcW w:w="841" w:type="pct"/>
          </w:tcPr>
          <w:p w14:paraId="2A3D97F2">
            <w:pPr>
              <w:rPr>
                <w:rFonts w:hint="eastAsia" w:asciiTheme="minorEastAsia" w:hAnsiTheme="minorEastAsia" w:eastAsiaTheme="minorEastAsia" w:cstheme="minorEastAsia"/>
                <w:color w:val="auto"/>
                <w:kern w:val="2"/>
                <w:highlight w:val="none"/>
              </w:rPr>
            </w:pPr>
          </w:p>
        </w:tc>
        <w:tc>
          <w:tcPr>
            <w:tcW w:w="827" w:type="pct"/>
          </w:tcPr>
          <w:p w14:paraId="495B352B">
            <w:pPr>
              <w:rPr>
                <w:rFonts w:hint="eastAsia" w:asciiTheme="minorEastAsia" w:hAnsiTheme="minorEastAsia" w:eastAsiaTheme="minorEastAsia" w:cstheme="minorEastAsia"/>
                <w:color w:val="auto"/>
                <w:kern w:val="2"/>
                <w:highlight w:val="none"/>
              </w:rPr>
            </w:pPr>
          </w:p>
        </w:tc>
        <w:tc>
          <w:tcPr>
            <w:tcW w:w="1196" w:type="pct"/>
          </w:tcPr>
          <w:p w14:paraId="06D02BAA">
            <w:pPr>
              <w:rPr>
                <w:rFonts w:hint="eastAsia" w:asciiTheme="minorEastAsia" w:hAnsiTheme="minorEastAsia" w:eastAsiaTheme="minorEastAsia" w:cstheme="minorEastAsia"/>
                <w:color w:val="auto"/>
                <w:kern w:val="2"/>
                <w:highlight w:val="none"/>
              </w:rPr>
            </w:pPr>
          </w:p>
        </w:tc>
        <w:tc>
          <w:tcPr>
            <w:tcW w:w="868" w:type="pct"/>
          </w:tcPr>
          <w:p w14:paraId="43F8DD59">
            <w:pPr>
              <w:rPr>
                <w:rFonts w:hint="eastAsia" w:asciiTheme="minorEastAsia" w:hAnsiTheme="minorEastAsia" w:eastAsiaTheme="minorEastAsia" w:cstheme="minorEastAsia"/>
                <w:color w:val="auto"/>
                <w:kern w:val="2"/>
                <w:highlight w:val="none"/>
              </w:rPr>
            </w:pPr>
          </w:p>
        </w:tc>
        <w:tc>
          <w:tcPr>
            <w:tcW w:w="888" w:type="pct"/>
            <w:vAlign w:val="center"/>
          </w:tcPr>
          <w:p w14:paraId="7F0BA1F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FB0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C6D239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3</w:t>
            </w:r>
          </w:p>
        </w:tc>
        <w:tc>
          <w:tcPr>
            <w:tcW w:w="841" w:type="pct"/>
          </w:tcPr>
          <w:p w14:paraId="1ADFE72B">
            <w:pPr>
              <w:rPr>
                <w:rFonts w:hint="eastAsia" w:asciiTheme="minorEastAsia" w:hAnsiTheme="minorEastAsia" w:eastAsiaTheme="minorEastAsia" w:cstheme="minorEastAsia"/>
                <w:color w:val="auto"/>
                <w:kern w:val="2"/>
                <w:highlight w:val="none"/>
              </w:rPr>
            </w:pPr>
          </w:p>
        </w:tc>
        <w:tc>
          <w:tcPr>
            <w:tcW w:w="827" w:type="pct"/>
          </w:tcPr>
          <w:p w14:paraId="3307A41E">
            <w:pPr>
              <w:rPr>
                <w:rFonts w:hint="eastAsia" w:asciiTheme="minorEastAsia" w:hAnsiTheme="minorEastAsia" w:eastAsiaTheme="minorEastAsia" w:cstheme="minorEastAsia"/>
                <w:color w:val="auto"/>
                <w:kern w:val="2"/>
                <w:highlight w:val="none"/>
              </w:rPr>
            </w:pPr>
          </w:p>
        </w:tc>
        <w:tc>
          <w:tcPr>
            <w:tcW w:w="1196" w:type="pct"/>
          </w:tcPr>
          <w:p w14:paraId="1AC6181D">
            <w:pPr>
              <w:rPr>
                <w:rFonts w:hint="eastAsia" w:asciiTheme="minorEastAsia" w:hAnsiTheme="minorEastAsia" w:eastAsiaTheme="minorEastAsia" w:cstheme="minorEastAsia"/>
                <w:color w:val="auto"/>
                <w:kern w:val="2"/>
                <w:highlight w:val="none"/>
              </w:rPr>
            </w:pPr>
          </w:p>
        </w:tc>
        <w:tc>
          <w:tcPr>
            <w:tcW w:w="868" w:type="pct"/>
          </w:tcPr>
          <w:p w14:paraId="3A7C9E67">
            <w:pPr>
              <w:rPr>
                <w:rFonts w:hint="eastAsia" w:asciiTheme="minorEastAsia" w:hAnsiTheme="minorEastAsia" w:eastAsiaTheme="minorEastAsia" w:cstheme="minorEastAsia"/>
                <w:color w:val="auto"/>
                <w:kern w:val="2"/>
                <w:highlight w:val="none"/>
              </w:rPr>
            </w:pPr>
          </w:p>
        </w:tc>
        <w:tc>
          <w:tcPr>
            <w:tcW w:w="888" w:type="pct"/>
            <w:vAlign w:val="center"/>
          </w:tcPr>
          <w:p w14:paraId="3E0724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2D0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2FE501FA">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4</w:t>
            </w:r>
          </w:p>
        </w:tc>
        <w:tc>
          <w:tcPr>
            <w:tcW w:w="841" w:type="pct"/>
          </w:tcPr>
          <w:p w14:paraId="5FF0C7B5">
            <w:pPr>
              <w:rPr>
                <w:rFonts w:hint="eastAsia" w:asciiTheme="minorEastAsia" w:hAnsiTheme="minorEastAsia" w:eastAsiaTheme="minorEastAsia" w:cstheme="minorEastAsia"/>
                <w:color w:val="auto"/>
                <w:kern w:val="2"/>
                <w:highlight w:val="none"/>
              </w:rPr>
            </w:pPr>
          </w:p>
        </w:tc>
        <w:tc>
          <w:tcPr>
            <w:tcW w:w="827" w:type="pct"/>
          </w:tcPr>
          <w:p w14:paraId="7E0A8B41">
            <w:pPr>
              <w:rPr>
                <w:rFonts w:hint="eastAsia" w:asciiTheme="minorEastAsia" w:hAnsiTheme="minorEastAsia" w:eastAsiaTheme="minorEastAsia" w:cstheme="minorEastAsia"/>
                <w:color w:val="auto"/>
                <w:kern w:val="2"/>
                <w:highlight w:val="none"/>
              </w:rPr>
            </w:pPr>
          </w:p>
        </w:tc>
        <w:tc>
          <w:tcPr>
            <w:tcW w:w="1196" w:type="pct"/>
          </w:tcPr>
          <w:p w14:paraId="7138CC76">
            <w:pPr>
              <w:rPr>
                <w:rFonts w:hint="eastAsia" w:asciiTheme="minorEastAsia" w:hAnsiTheme="minorEastAsia" w:eastAsiaTheme="minorEastAsia" w:cstheme="minorEastAsia"/>
                <w:color w:val="auto"/>
                <w:kern w:val="2"/>
                <w:highlight w:val="none"/>
              </w:rPr>
            </w:pPr>
          </w:p>
        </w:tc>
        <w:tc>
          <w:tcPr>
            <w:tcW w:w="868" w:type="pct"/>
          </w:tcPr>
          <w:p w14:paraId="48D0CE54">
            <w:pPr>
              <w:rPr>
                <w:rFonts w:hint="eastAsia" w:asciiTheme="minorEastAsia" w:hAnsiTheme="minorEastAsia" w:eastAsiaTheme="minorEastAsia" w:cstheme="minorEastAsia"/>
                <w:color w:val="auto"/>
                <w:kern w:val="2"/>
                <w:highlight w:val="none"/>
              </w:rPr>
            </w:pPr>
          </w:p>
        </w:tc>
        <w:tc>
          <w:tcPr>
            <w:tcW w:w="888" w:type="pct"/>
            <w:vAlign w:val="center"/>
          </w:tcPr>
          <w:p w14:paraId="3B11A14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1471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4312802F">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5</w:t>
            </w:r>
          </w:p>
        </w:tc>
        <w:tc>
          <w:tcPr>
            <w:tcW w:w="841" w:type="pct"/>
          </w:tcPr>
          <w:p w14:paraId="67E419AA">
            <w:pPr>
              <w:rPr>
                <w:rFonts w:hint="eastAsia" w:asciiTheme="minorEastAsia" w:hAnsiTheme="minorEastAsia" w:eastAsiaTheme="minorEastAsia" w:cstheme="minorEastAsia"/>
                <w:color w:val="auto"/>
                <w:kern w:val="2"/>
                <w:highlight w:val="none"/>
              </w:rPr>
            </w:pPr>
          </w:p>
        </w:tc>
        <w:tc>
          <w:tcPr>
            <w:tcW w:w="827" w:type="pct"/>
          </w:tcPr>
          <w:p w14:paraId="013FCDC5">
            <w:pPr>
              <w:rPr>
                <w:rFonts w:hint="eastAsia" w:asciiTheme="minorEastAsia" w:hAnsiTheme="minorEastAsia" w:eastAsiaTheme="minorEastAsia" w:cstheme="minorEastAsia"/>
                <w:color w:val="auto"/>
                <w:kern w:val="2"/>
                <w:highlight w:val="none"/>
              </w:rPr>
            </w:pPr>
          </w:p>
        </w:tc>
        <w:tc>
          <w:tcPr>
            <w:tcW w:w="1196" w:type="pct"/>
          </w:tcPr>
          <w:p w14:paraId="3FFFF234">
            <w:pPr>
              <w:rPr>
                <w:rFonts w:hint="eastAsia" w:asciiTheme="minorEastAsia" w:hAnsiTheme="minorEastAsia" w:eastAsiaTheme="minorEastAsia" w:cstheme="minorEastAsia"/>
                <w:color w:val="auto"/>
                <w:kern w:val="2"/>
                <w:highlight w:val="none"/>
              </w:rPr>
            </w:pPr>
          </w:p>
        </w:tc>
        <w:tc>
          <w:tcPr>
            <w:tcW w:w="868" w:type="pct"/>
          </w:tcPr>
          <w:p w14:paraId="6C880631">
            <w:pPr>
              <w:rPr>
                <w:rFonts w:hint="eastAsia" w:asciiTheme="minorEastAsia" w:hAnsiTheme="minorEastAsia" w:eastAsiaTheme="minorEastAsia" w:cstheme="minorEastAsia"/>
                <w:color w:val="auto"/>
                <w:kern w:val="2"/>
                <w:highlight w:val="none"/>
              </w:rPr>
            </w:pPr>
          </w:p>
        </w:tc>
        <w:tc>
          <w:tcPr>
            <w:tcW w:w="888" w:type="pct"/>
            <w:vAlign w:val="center"/>
          </w:tcPr>
          <w:p w14:paraId="3E3720C5">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3136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1206221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6</w:t>
            </w:r>
          </w:p>
        </w:tc>
        <w:tc>
          <w:tcPr>
            <w:tcW w:w="841" w:type="pct"/>
          </w:tcPr>
          <w:p w14:paraId="6D5A464D">
            <w:pPr>
              <w:rPr>
                <w:rFonts w:hint="eastAsia" w:asciiTheme="minorEastAsia" w:hAnsiTheme="minorEastAsia" w:eastAsiaTheme="minorEastAsia" w:cstheme="minorEastAsia"/>
                <w:color w:val="auto"/>
                <w:kern w:val="2"/>
                <w:highlight w:val="none"/>
              </w:rPr>
            </w:pPr>
          </w:p>
        </w:tc>
        <w:tc>
          <w:tcPr>
            <w:tcW w:w="827" w:type="pct"/>
          </w:tcPr>
          <w:p w14:paraId="024D0337">
            <w:pPr>
              <w:rPr>
                <w:rFonts w:hint="eastAsia" w:asciiTheme="minorEastAsia" w:hAnsiTheme="minorEastAsia" w:eastAsiaTheme="minorEastAsia" w:cstheme="minorEastAsia"/>
                <w:color w:val="auto"/>
                <w:kern w:val="2"/>
                <w:highlight w:val="none"/>
              </w:rPr>
            </w:pPr>
          </w:p>
        </w:tc>
        <w:tc>
          <w:tcPr>
            <w:tcW w:w="1196" w:type="pct"/>
          </w:tcPr>
          <w:p w14:paraId="78D825C9">
            <w:pPr>
              <w:rPr>
                <w:rFonts w:hint="eastAsia" w:asciiTheme="minorEastAsia" w:hAnsiTheme="minorEastAsia" w:eastAsiaTheme="minorEastAsia" w:cstheme="minorEastAsia"/>
                <w:color w:val="auto"/>
                <w:kern w:val="2"/>
                <w:highlight w:val="none"/>
              </w:rPr>
            </w:pPr>
          </w:p>
        </w:tc>
        <w:tc>
          <w:tcPr>
            <w:tcW w:w="868" w:type="pct"/>
          </w:tcPr>
          <w:p w14:paraId="4583E0C5">
            <w:pPr>
              <w:rPr>
                <w:rFonts w:hint="eastAsia" w:asciiTheme="minorEastAsia" w:hAnsiTheme="minorEastAsia" w:eastAsiaTheme="minorEastAsia" w:cstheme="minorEastAsia"/>
                <w:color w:val="auto"/>
                <w:kern w:val="2"/>
                <w:highlight w:val="none"/>
              </w:rPr>
            </w:pPr>
          </w:p>
        </w:tc>
        <w:tc>
          <w:tcPr>
            <w:tcW w:w="888" w:type="pct"/>
            <w:vAlign w:val="center"/>
          </w:tcPr>
          <w:p w14:paraId="2338C4F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E8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4892625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7</w:t>
            </w:r>
          </w:p>
        </w:tc>
        <w:tc>
          <w:tcPr>
            <w:tcW w:w="841" w:type="pct"/>
          </w:tcPr>
          <w:p w14:paraId="50300A9B">
            <w:pPr>
              <w:rPr>
                <w:rFonts w:hint="eastAsia" w:asciiTheme="minorEastAsia" w:hAnsiTheme="minorEastAsia" w:eastAsiaTheme="minorEastAsia" w:cstheme="minorEastAsia"/>
                <w:color w:val="auto"/>
                <w:kern w:val="2"/>
                <w:highlight w:val="none"/>
              </w:rPr>
            </w:pPr>
          </w:p>
        </w:tc>
        <w:tc>
          <w:tcPr>
            <w:tcW w:w="827" w:type="pct"/>
          </w:tcPr>
          <w:p w14:paraId="50DC9E37">
            <w:pPr>
              <w:rPr>
                <w:rFonts w:hint="eastAsia" w:asciiTheme="minorEastAsia" w:hAnsiTheme="minorEastAsia" w:eastAsiaTheme="minorEastAsia" w:cstheme="minorEastAsia"/>
                <w:color w:val="auto"/>
                <w:kern w:val="2"/>
                <w:highlight w:val="none"/>
              </w:rPr>
            </w:pPr>
          </w:p>
        </w:tc>
        <w:tc>
          <w:tcPr>
            <w:tcW w:w="1196" w:type="pct"/>
          </w:tcPr>
          <w:p w14:paraId="6DE4EA00">
            <w:pPr>
              <w:rPr>
                <w:rFonts w:hint="eastAsia" w:asciiTheme="minorEastAsia" w:hAnsiTheme="minorEastAsia" w:eastAsiaTheme="minorEastAsia" w:cstheme="minorEastAsia"/>
                <w:color w:val="auto"/>
                <w:kern w:val="2"/>
                <w:highlight w:val="none"/>
              </w:rPr>
            </w:pPr>
          </w:p>
        </w:tc>
        <w:tc>
          <w:tcPr>
            <w:tcW w:w="868" w:type="pct"/>
          </w:tcPr>
          <w:p w14:paraId="40CA14CD">
            <w:pPr>
              <w:rPr>
                <w:rFonts w:hint="eastAsia" w:asciiTheme="minorEastAsia" w:hAnsiTheme="minorEastAsia" w:eastAsiaTheme="minorEastAsia" w:cstheme="minorEastAsia"/>
                <w:color w:val="auto"/>
                <w:kern w:val="2"/>
                <w:highlight w:val="none"/>
              </w:rPr>
            </w:pPr>
          </w:p>
        </w:tc>
        <w:tc>
          <w:tcPr>
            <w:tcW w:w="888" w:type="pct"/>
            <w:vAlign w:val="center"/>
          </w:tcPr>
          <w:p w14:paraId="4543D84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22CC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15B1AB8">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8</w:t>
            </w:r>
          </w:p>
        </w:tc>
        <w:tc>
          <w:tcPr>
            <w:tcW w:w="841" w:type="pct"/>
          </w:tcPr>
          <w:p w14:paraId="24475BAA">
            <w:pPr>
              <w:rPr>
                <w:rFonts w:hint="eastAsia" w:asciiTheme="minorEastAsia" w:hAnsiTheme="minorEastAsia" w:eastAsiaTheme="minorEastAsia" w:cstheme="minorEastAsia"/>
                <w:color w:val="auto"/>
                <w:kern w:val="2"/>
                <w:highlight w:val="none"/>
              </w:rPr>
            </w:pPr>
          </w:p>
        </w:tc>
        <w:tc>
          <w:tcPr>
            <w:tcW w:w="827" w:type="pct"/>
          </w:tcPr>
          <w:p w14:paraId="4C9CA89D">
            <w:pPr>
              <w:rPr>
                <w:rFonts w:hint="eastAsia" w:asciiTheme="minorEastAsia" w:hAnsiTheme="minorEastAsia" w:eastAsiaTheme="minorEastAsia" w:cstheme="minorEastAsia"/>
                <w:color w:val="auto"/>
                <w:kern w:val="2"/>
                <w:highlight w:val="none"/>
              </w:rPr>
            </w:pPr>
          </w:p>
        </w:tc>
        <w:tc>
          <w:tcPr>
            <w:tcW w:w="1196" w:type="pct"/>
          </w:tcPr>
          <w:p w14:paraId="6A418D29">
            <w:pPr>
              <w:rPr>
                <w:rFonts w:hint="eastAsia" w:asciiTheme="minorEastAsia" w:hAnsiTheme="minorEastAsia" w:eastAsiaTheme="minorEastAsia" w:cstheme="minorEastAsia"/>
                <w:color w:val="auto"/>
                <w:kern w:val="2"/>
                <w:highlight w:val="none"/>
              </w:rPr>
            </w:pPr>
          </w:p>
        </w:tc>
        <w:tc>
          <w:tcPr>
            <w:tcW w:w="868" w:type="pct"/>
          </w:tcPr>
          <w:p w14:paraId="058A3B00">
            <w:pPr>
              <w:rPr>
                <w:rFonts w:hint="eastAsia" w:asciiTheme="minorEastAsia" w:hAnsiTheme="minorEastAsia" w:eastAsiaTheme="minorEastAsia" w:cstheme="minorEastAsia"/>
                <w:color w:val="auto"/>
                <w:kern w:val="2"/>
                <w:highlight w:val="none"/>
              </w:rPr>
            </w:pPr>
          </w:p>
        </w:tc>
        <w:tc>
          <w:tcPr>
            <w:tcW w:w="888" w:type="pct"/>
            <w:vAlign w:val="center"/>
          </w:tcPr>
          <w:p w14:paraId="5192FAB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41FF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F77383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w:t>
            </w:r>
          </w:p>
        </w:tc>
        <w:tc>
          <w:tcPr>
            <w:tcW w:w="841" w:type="pct"/>
          </w:tcPr>
          <w:p w14:paraId="2F2FA5B4">
            <w:pPr>
              <w:rPr>
                <w:rFonts w:hint="eastAsia" w:asciiTheme="minorEastAsia" w:hAnsiTheme="minorEastAsia" w:eastAsiaTheme="minorEastAsia" w:cstheme="minorEastAsia"/>
                <w:color w:val="auto"/>
                <w:kern w:val="2"/>
                <w:highlight w:val="none"/>
              </w:rPr>
            </w:pPr>
          </w:p>
        </w:tc>
        <w:tc>
          <w:tcPr>
            <w:tcW w:w="827" w:type="pct"/>
          </w:tcPr>
          <w:p w14:paraId="6507FD2B">
            <w:pPr>
              <w:rPr>
                <w:rFonts w:hint="eastAsia" w:asciiTheme="minorEastAsia" w:hAnsiTheme="minorEastAsia" w:eastAsiaTheme="minorEastAsia" w:cstheme="minorEastAsia"/>
                <w:color w:val="auto"/>
                <w:kern w:val="2"/>
                <w:highlight w:val="none"/>
              </w:rPr>
            </w:pPr>
          </w:p>
        </w:tc>
        <w:tc>
          <w:tcPr>
            <w:tcW w:w="1196" w:type="pct"/>
          </w:tcPr>
          <w:p w14:paraId="4865B00C">
            <w:pPr>
              <w:rPr>
                <w:rFonts w:hint="eastAsia" w:asciiTheme="minorEastAsia" w:hAnsiTheme="minorEastAsia" w:eastAsiaTheme="minorEastAsia" w:cstheme="minorEastAsia"/>
                <w:color w:val="auto"/>
                <w:kern w:val="2"/>
                <w:highlight w:val="none"/>
              </w:rPr>
            </w:pPr>
          </w:p>
        </w:tc>
        <w:tc>
          <w:tcPr>
            <w:tcW w:w="868" w:type="pct"/>
          </w:tcPr>
          <w:p w14:paraId="171E34B0">
            <w:pPr>
              <w:rPr>
                <w:rFonts w:hint="eastAsia" w:asciiTheme="minorEastAsia" w:hAnsiTheme="minorEastAsia" w:eastAsiaTheme="minorEastAsia" w:cstheme="minorEastAsia"/>
                <w:color w:val="auto"/>
                <w:kern w:val="2"/>
                <w:highlight w:val="none"/>
              </w:rPr>
            </w:pPr>
          </w:p>
        </w:tc>
        <w:tc>
          <w:tcPr>
            <w:tcW w:w="888" w:type="pct"/>
          </w:tcPr>
          <w:p w14:paraId="100C8394">
            <w:pPr>
              <w:rPr>
                <w:rFonts w:hint="eastAsia" w:asciiTheme="minorEastAsia" w:hAnsiTheme="minorEastAsia" w:eastAsiaTheme="minorEastAsia" w:cstheme="minorEastAsia"/>
                <w:color w:val="auto"/>
                <w:kern w:val="2"/>
                <w:highlight w:val="none"/>
              </w:rPr>
            </w:pPr>
          </w:p>
        </w:tc>
      </w:tr>
    </w:tbl>
    <w:p w14:paraId="6AF5FD29">
      <w:pPr>
        <w:rPr>
          <w:rFonts w:hint="eastAsia" w:asciiTheme="minorEastAsia" w:hAnsiTheme="minorEastAsia" w:eastAsiaTheme="minorEastAsia" w:cstheme="minorEastAsia"/>
          <w:color w:val="auto"/>
          <w:highlight w:val="none"/>
        </w:rPr>
      </w:pPr>
    </w:p>
    <w:p w14:paraId="51159C8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val="en-US" w:eastAsia="zh-CN"/>
        </w:rPr>
        <w:t>遴选</w:t>
      </w:r>
      <w:r>
        <w:rPr>
          <w:rFonts w:hint="eastAsia" w:asciiTheme="minorEastAsia" w:hAnsiTheme="minorEastAsia" w:eastAsiaTheme="minorEastAsia" w:cstheme="minorEastAsia"/>
          <w:color w:val="auto"/>
          <w:highlight w:val="none"/>
        </w:rPr>
        <w:t>文件“用户需求书”内容逐条响应。如有缺漏，缺漏项视同不符合</w:t>
      </w:r>
      <w:r>
        <w:rPr>
          <w:rFonts w:hint="eastAsia" w:asciiTheme="minorEastAsia" w:hAnsiTheme="minorEastAsia" w:eastAsiaTheme="minorEastAsia" w:cstheme="minorEastAsia"/>
          <w:color w:val="auto"/>
          <w:highlight w:val="none"/>
          <w:lang w:val="en-US" w:eastAsia="zh-CN"/>
        </w:rPr>
        <w:t>遴选</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w:t>
      </w:r>
      <w:r>
        <w:rPr>
          <w:rFonts w:hint="eastAsia" w:asciiTheme="minorEastAsia" w:hAnsiTheme="minorEastAsia" w:eastAsiaTheme="minorEastAsia" w:cstheme="minorEastAsia"/>
          <w:color w:val="auto"/>
          <w:highlight w:val="none"/>
          <w:lang w:val="en-US" w:eastAsia="zh-CN"/>
        </w:rPr>
        <w:t>遴选</w:t>
      </w:r>
      <w:r>
        <w:rPr>
          <w:rFonts w:hint="eastAsia" w:asciiTheme="minorEastAsia" w:hAnsiTheme="minorEastAsia" w:eastAsiaTheme="minorEastAsia" w:cstheme="minorEastAsia"/>
          <w:color w:val="auto"/>
          <w:highlight w:val="none"/>
        </w:rPr>
        <w:t>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本表内容不得擅自修改。请在“偏离说明”栏内扼要说明偏离情况，如无偏离则不需列明。</w:t>
      </w:r>
    </w:p>
    <w:p w14:paraId="275DF573">
      <w:pPr>
        <w:spacing w:line="360" w:lineRule="auto"/>
        <w:rPr>
          <w:rFonts w:hint="eastAsia" w:asciiTheme="minorEastAsia" w:hAnsiTheme="minorEastAsia" w:eastAsiaTheme="minorEastAsia" w:cstheme="minorEastAsia"/>
          <w:color w:val="auto"/>
          <w:highlight w:val="none"/>
        </w:rPr>
      </w:pPr>
    </w:p>
    <w:p w14:paraId="28EDBD5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385DC99C">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116AA415">
      <w:pPr>
        <w:tabs>
          <w:tab w:val="left" w:pos="1322"/>
        </w:tabs>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22FD941B">
      <w:pP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34DCB9DF">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4.2详细技术方案等</w:t>
      </w:r>
    </w:p>
    <w:p w14:paraId="7A04E1A1">
      <w:pPr>
        <w:spacing w:line="360" w:lineRule="auto"/>
        <w:rPr>
          <w:rFonts w:hint="eastAsia" w:asciiTheme="minorEastAsia" w:hAnsiTheme="minorEastAsia" w:eastAsiaTheme="minorEastAsia" w:cstheme="minorEastAsia"/>
          <w:color w:val="auto"/>
          <w:highlight w:val="none"/>
          <w:lang w:val="en-GB" w:eastAsia="zh-CN"/>
        </w:rPr>
      </w:pPr>
      <w:r>
        <w:rPr>
          <w:rFonts w:hint="eastAsia" w:asciiTheme="minorEastAsia" w:hAnsiTheme="minorEastAsia" w:eastAsiaTheme="minorEastAsia" w:cstheme="minorEastAsia"/>
          <w:color w:val="auto"/>
          <w:highlight w:val="none"/>
          <w:lang w:val="en-GB"/>
        </w:rPr>
        <w:t>包括但不限于以下内容，主要根据</w:t>
      </w:r>
      <w:r>
        <w:rPr>
          <w:rFonts w:hint="eastAsia" w:asciiTheme="minorEastAsia" w:hAnsiTheme="minorEastAsia" w:eastAsiaTheme="minorEastAsia" w:cstheme="minorEastAsia"/>
          <w:color w:val="auto"/>
          <w:highlight w:val="none"/>
          <w:lang w:val="en-US" w:eastAsia="zh-CN"/>
        </w:rPr>
        <w:t>遴选</w:t>
      </w:r>
      <w:r>
        <w:rPr>
          <w:rFonts w:hint="eastAsia" w:asciiTheme="minorEastAsia" w:hAnsiTheme="minorEastAsia" w:eastAsiaTheme="minorEastAsia" w:cstheme="minorEastAsia"/>
          <w:color w:val="auto"/>
          <w:highlight w:val="none"/>
          <w:lang w:val="en-GB"/>
        </w:rPr>
        <w:t>需求的要求（格式自定）</w:t>
      </w:r>
    </w:p>
    <w:p w14:paraId="5E06E63F">
      <w:pPr>
        <w:numPr>
          <w:ilvl w:val="0"/>
          <w:numId w:val="0"/>
        </w:numPr>
        <w:spacing w:line="360" w:lineRule="auto"/>
        <w:rPr>
          <w:rFonts w:hint="eastAsia"/>
          <w:color w:val="auto"/>
          <w:spacing w:val="24"/>
          <w:highlight w:val="none"/>
          <w:lang w:val="en-US" w:eastAsia="zh-CN"/>
        </w:rPr>
      </w:pPr>
      <w:r>
        <w:rPr>
          <w:rFonts w:hint="eastAsia" w:asciiTheme="minorEastAsia" w:hAnsiTheme="minorEastAsia" w:eastAsiaTheme="minorEastAsia" w:cstheme="minorEastAsia"/>
          <w:color w:val="auto"/>
          <w:highlight w:val="none"/>
          <w:lang w:val="en-US" w:eastAsia="zh-CN"/>
        </w:rPr>
        <w:t>1、项目实施方案</w:t>
      </w:r>
      <w:r>
        <w:rPr>
          <w:rFonts w:hint="eastAsia"/>
          <w:color w:val="auto"/>
          <w:spacing w:val="24"/>
          <w:highlight w:val="none"/>
          <w:lang w:val="en-US" w:eastAsia="zh-CN"/>
        </w:rPr>
        <w:t>；</w:t>
      </w:r>
    </w:p>
    <w:p w14:paraId="6340CD58">
      <w:pPr>
        <w:numPr>
          <w:ilvl w:val="0"/>
          <w:numId w:val="0"/>
        </w:num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2、应急服务方案；</w:t>
      </w:r>
    </w:p>
    <w:p w14:paraId="1CC8D71F">
      <w:pPr>
        <w:tabs>
          <w:tab w:val="decimal" w:pos="315"/>
          <w:tab w:val="left" w:pos="630"/>
        </w:tabs>
        <w:spacing w:line="360" w:lineRule="auto"/>
        <w:jc w:val="both"/>
        <w:rPr>
          <w:rFonts w:hint="eastAsia" w:eastAsia="宋体"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w:t>
      </w:r>
      <w:r>
        <w:rPr>
          <w:rFonts w:hint="default" w:ascii="宋体" w:hAnsi="宋体" w:eastAsia="宋体" w:cs="宋体"/>
          <w:sz w:val="20"/>
          <w:szCs w:val="20"/>
          <w:highlight w:val="none"/>
          <w:lang w:val="en-US" w:eastAsia="zh-CN"/>
        </w:rPr>
        <w:t>药品与器械物流方案</w:t>
      </w:r>
      <w:r>
        <w:rPr>
          <w:rFonts w:hint="eastAsia" w:ascii="宋体" w:hAnsi="宋体" w:cs="宋体"/>
          <w:b w:val="0"/>
          <w:bCs w:val="0"/>
          <w:color w:val="auto"/>
          <w:highlight w:val="none"/>
          <w:lang w:val="en-US" w:eastAsia="zh-CN"/>
        </w:rPr>
        <w:t>；</w:t>
      </w:r>
    </w:p>
    <w:p w14:paraId="2292664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4、其他</w:t>
      </w:r>
      <w:r>
        <w:rPr>
          <w:rFonts w:hint="eastAsia" w:asciiTheme="minorEastAsia" w:hAnsiTheme="minorEastAsia" w:eastAsiaTheme="minorEastAsia" w:cstheme="minorEastAsia"/>
          <w:color w:val="auto"/>
          <w:highlight w:val="none"/>
        </w:rPr>
        <w:t>。</w:t>
      </w:r>
    </w:p>
    <w:p w14:paraId="2D99E5CD">
      <w:pPr>
        <w:spacing w:line="360" w:lineRule="auto"/>
        <w:rPr>
          <w:rFonts w:hint="eastAsia" w:asciiTheme="minorEastAsia" w:hAnsiTheme="minorEastAsia" w:eastAsiaTheme="minorEastAsia" w:cstheme="minorEastAsia"/>
          <w:color w:val="auto"/>
          <w:highlight w:val="none"/>
        </w:rPr>
      </w:pPr>
    </w:p>
    <w:p w14:paraId="4EC00E25">
      <w:pPr>
        <w:spacing w:line="360" w:lineRule="auto"/>
        <w:rPr>
          <w:rFonts w:hint="eastAsia" w:asciiTheme="minorEastAsia" w:hAnsiTheme="minorEastAsia" w:eastAsiaTheme="minorEastAsia" w:cstheme="minorEastAsia"/>
          <w:b/>
          <w:bCs/>
          <w:color w:val="auto"/>
          <w:highlight w:val="none"/>
        </w:rPr>
      </w:pPr>
    </w:p>
    <w:p w14:paraId="0F75EF77">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286CE7AF">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3A7AEFA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0D2CA8FD">
      <w:pPr>
        <w:pStyle w:val="37"/>
        <w:numPr>
          <w:ilvl w:val="0"/>
          <w:numId w:val="0"/>
        </w:numPr>
        <w:tabs>
          <w:tab w:val="left" w:pos="-220"/>
        </w:tabs>
        <w:jc w:val="left"/>
        <w:rPr>
          <w:rFonts w:hint="eastAsia" w:ascii="Times New Roman" w:hAnsi="Times New Roman" w:eastAsia="宋体" w:cs="Times New Roman"/>
          <w:b/>
          <w:bCs/>
          <w:highlight w:val="none"/>
          <w:lang w:val="en-US" w:eastAsia="zh-CN"/>
        </w:rPr>
      </w:pPr>
      <w:r>
        <w:rPr>
          <w:rFonts w:hint="eastAsia" w:asciiTheme="minorEastAsia" w:hAnsiTheme="minorEastAsia" w:eastAsiaTheme="minorEastAsia" w:cstheme="minorEastAsia"/>
          <w:b/>
          <w:color w:val="auto"/>
          <w:highlight w:val="none"/>
        </w:rPr>
        <w:br w:type="page"/>
      </w:r>
    </w:p>
    <w:p w14:paraId="055554C8">
      <w:pPr>
        <w:pStyle w:val="37"/>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w:t>
      </w:r>
      <w:r>
        <w:rPr>
          <w:rFonts w:hint="eastAsia" w:cs="Times New Roman"/>
          <w:b/>
          <w:bCs/>
          <w:highlight w:val="none"/>
          <w:lang w:val="en-US" w:eastAsia="zh-CN"/>
        </w:rPr>
        <w:t>五</w:t>
      </w:r>
      <w:r>
        <w:rPr>
          <w:rFonts w:hint="eastAsia" w:ascii="Times New Roman" w:hAnsi="Times New Roman" w:eastAsia="宋体" w:cs="Times New Roman"/>
          <w:b/>
          <w:bCs/>
          <w:highlight w:val="none"/>
          <w:lang w:val="en-US" w:eastAsia="zh-CN"/>
        </w:rPr>
        <w:t>：</w:t>
      </w:r>
    </w:p>
    <w:p w14:paraId="5D0023A9">
      <w:pPr>
        <w:pStyle w:val="38"/>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8"/>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供应商资格信用承诺函</w:t>
      </w:r>
    </w:p>
    <w:p w14:paraId="771DF17B">
      <w:pPr>
        <w:pStyle w:val="38"/>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8"/>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w:t>
      </w:r>
      <w:r>
        <w:rPr>
          <w:rFonts w:hint="eastAsia" w:ascii="Times New Roman" w:hAnsi="Times New Roman"/>
          <w:color w:val="000000"/>
          <w:kern w:val="2"/>
          <w:sz w:val="24"/>
          <w:szCs w:val="24"/>
          <w:highlight w:val="none"/>
          <w:lang w:val="en-US" w:eastAsia="zh-CN"/>
        </w:rPr>
        <w:t>遴选</w:t>
      </w:r>
      <w:r>
        <w:rPr>
          <w:rFonts w:hint="default" w:ascii="Times New Roman" w:hAnsi="Times New Roman"/>
          <w:color w:val="000000"/>
          <w:kern w:val="2"/>
          <w:sz w:val="24"/>
          <w:szCs w:val="24"/>
          <w:highlight w:val="none"/>
          <w:lang w:eastAsia="zh-CN"/>
        </w:rPr>
        <w:t>活动，承诺符合</w:t>
      </w:r>
      <w:r>
        <w:rPr>
          <w:rFonts w:hint="eastAsia" w:ascii="Times New Roman" w:hAnsi="Times New Roman"/>
          <w:color w:val="000000"/>
          <w:kern w:val="2"/>
          <w:sz w:val="24"/>
          <w:szCs w:val="24"/>
          <w:highlight w:val="none"/>
          <w:lang w:val="en-US" w:eastAsia="zh-CN"/>
        </w:rPr>
        <w:t>遴选</w:t>
      </w:r>
      <w:r>
        <w:rPr>
          <w:rFonts w:hint="default" w:ascii="Times New Roman" w:hAnsi="Times New Roman"/>
          <w:color w:val="000000"/>
          <w:kern w:val="2"/>
          <w:sz w:val="24"/>
          <w:szCs w:val="24"/>
          <w:highlight w:val="none"/>
          <w:lang w:eastAsia="zh-CN"/>
        </w:rPr>
        <w:t>文件资格要求规定的：</w:t>
      </w:r>
    </w:p>
    <w:p w14:paraId="275B8663">
      <w:pPr>
        <w:pStyle w:val="38"/>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8"/>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8"/>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8"/>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w:t>
      </w:r>
      <w:r>
        <w:rPr>
          <w:rFonts w:hint="eastAsia" w:ascii="Times New Roman" w:hAnsi="Times New Roman"/>
          <w:color w:val="000000"/>
          <w:kern w:val="2"/>
          <w:sz w:val="24"/>
          <w:szCs w:val="24"/>
          <w:highlight w:val="none"/>
          <w:lang w:val="en-US" w:eastAsia="zh-CN"/>
        </w:rPr>
        <w:t>遴选</w:t>
      </w:r>
      <w:r>
        <w:rPr>
          <w:rFonts w:hint="default" w:ascii="Times New Roman" w:hAnsi="Times New Roman"/>
          <w:color w:val="000000"/>
          <w:kern w:val="2"/>
          <w:sz w:val="24"/>
          <w:szCs w:val="24"/>
          <w:highlight w:val="none"/>
          <w:lang w:eastAsia="zh-CN"/>
        </w:rPr>
        <w:t>环节结束后，自愿接受采购</w:t>
      </w:r>
      <w:r>
        <w:rPr>
          <w:rFonts w:hint="eastAsia" w:ascii="Times New Roman" w:hAnsi="Times New Roman"/>
          <w:color w:val="000000"/>
          <w:kern w:val="2"/>
          <w:sz w:val="24"/>
          <w:szCs w:val="24"/>
          <w:highlight w:val="none"/>
          <w:lang w:val="en-US" w:eastAsia="zh-CN"/>
        </w:rPr>
        <w:t>人</w:t>
      </w:r>
      <w:r>
        <w:rPr>
          <w:rFonts w:hint="default" w:ascii="Times New Roman" w:hAnsi="Times New Roman"/>
          <w:color w:val="000000"/>
          <w:kern w:val="2"/>
          <w:sz w:val="24"/>
          <w:szCs w:val="24"/>
          <w:highlight w:val="none"/>
          <w:lang w:eastAsia="zh-CN"/>
        </w:rPr>
        <w:t>的检查核验，配合提供相关证明材料，证明符合《中华人民共和国政府采购法》规定的供应商基本资格条件。如有虚假，将依法承担相应法律责任。</w:t>
      </w:r>
    </w:p>
    <w:p w14:paraId="4FE90302">
      <w:pPr>
        <w:pStyle w:val="38"/>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8"/>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8"/>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7"/>
        <w:tabs>
          <w:tab w:val="decimal" w:pos="315"/>
          <w:tab w:val="left" w:pos="630"/>
        </w:tabs>
        <w:ind w:left="210" w:firstLine="0" w:firstLineChars="0"/>
        <w:rPr>
          <w:rFonts w:hint="eastAsia"/>
          <w:b/>
          <w:bCs/>
          <w:highlight w:val="none"/>
        </w:rPr>
      </w:pPr>
    </w:p>
    <w:p w14:paraId="448381D9">
      <w:pPr>
        <w:pStyle w:val="37"/>
        <w:tabs>
          <w:tab w:val="decimal" w:pos="315"/>
          <w:tab w:val="left" w:pos="630"/>
        </w:tabs>
        <w:ind w:left="210" w:firstLine="0" w:firstLineChars="0"/>
        <w:rPr>
          <w:rFonts w:hint="eastAsia"/>
          <w:b/>
          <w:bCs/>
          <w:highlight w:val="none"/>
        </w:rPr>
      </w:pPr>
    </w:p>
    <w:p w14:paraId="3F5201DC">
      <w:pPr>
        <w:pStyle w:val="37"/>
        <w:tabs>
          <w:tab w:val="decimal" w:pos="315"/>
          <w:tab w:val="left" w:pos="630"/>
        </w:tabs>
        <w:ind w:left="210" w:firstLine="0" w:firstLineChars="0"/>
        <w:rPr>
          <w:rFonts w:hint="eastAsia"/>
          <w:b/>
          <w:bCs/>
          <w:highlight w:val="none"/>
        </w:rPr>
      </w:pPr>
    </w:p>
    <w:p w14:paraId="291771C4">
      <w:pPr>
        <w:pStyle w:val="37"/>
        <w:tabs>
          <w:tab w:val="decimal" w:pos="315"/>
          <w:tab w:val="left" w:pos="630"/>
        </w:tabs>
        <w:ind w:left="210" w:firstLine="0" w:firstLineChars="0"/>
        <w:rPr>
          <w:rFonts w:hint="eastAsia"/>
          <w:b/>
          <w:bCs/>
          <w:highlight w:val="none"/>
        </w:rPr>
      </w:pPr>
    </w:p>
    <w:p w14:paraId="417C5BC1">
      <w:pPr>
        <w:pStyle w:val="37"/>
        <w:tabs>
          <w:tab w:val="decimal" w:pos="315"/>
          <w:tab w:val="left" w:pos="630"/>
        </w:tabs>
        <w:ind w:left="210" w:firstLine="0" w:firstLineChars="0"/>
        <w:rPr>
          <w:rFonts w:hint="eastAsia"/>
          <w:b/>
          <w:bCs/>
          <w:highlight w:val="none"/>
        </w:rPr>
      </w:pPr>
    </w:p>
    <w:p w14:paraId="6F0A843D">
      <w:pPr>
        <w:pStyle w:val="37"/>
        <w:tabs>
          <w:tab w:val="decimal" w:pos="315"/>
          <w:tab w:val="left" w:pos="630"/>
        </w:tabs>
        <w:ind w:left="210" w:firstLine="0" w:firstLineChars="0"/>
        <w:rPr>
          <w:rFonts w:hint="eastAsia"/>
          <w:b/>
          <w:bCs/>
          <w:highlight w:val="none"/>
        </w:rPr>
      </w:pPr>
    </w:p>
    <w:p w14:paraId="31B1A7CF">
      <w:pPr>
        <w:pStyle w:val="37"/>
        <w:tabs>
          <w:tab w:val="decimal" w:pos="315"/>
          <w:tab w:val="left" w:pos="630"/>
        </w:tabs>
        <w:ind w:left="210" w:firstLine="0" w:firstLineChars="0"/>
        <w:rPr>
          <w:rFonts w:hint="eastAsia"/>
          <w:b/>
          <w:bCs/>
          <w:highlight w:val="none"/>
        </w:rPr>
      </w:pPr>
    </w:p>
    <w:p w14:paraId="67DE597E">
      <w:pPr>
        <w:pStyle w:val="37"/>
        <w:tabs>
          <w:tab w:val="decimal" w:pos="315"/>
          <w:tab w:val="left" w:pos="630"/>
        </w:tabs>
        <w:ind w:left="210" w:firstLine="0" w:firstLineChars="0"/>
        <w:rPr>
          <w:rFonts w:hint="eastAsia"/>
          <w:b/>
          <w:bCs/>
          <w:highlight w:val="none"/>
        </w:rPr>
      </w:pPr>
    </w:p>
    <w:p w14:paraId="3E604480">
      <w:pPr>
        <w:pStyle w:val="37"/>
        <w:tabs>
          <w:tab w:val="decimal" w:pos="315"/>
          <w:tab w:val="left" w:pos="630"/>
        </w:tabs>
        <w:ind w:left="210" w:firstLine="0" w:firstLineChars="0"/>
        <w:rPr>
          <w:rFonts w:hint="eastAsia"/>
          <w:b/>
          <w:bCs/>
          <w:highlight w:val="none"/>
        </w:rPr>
      </w:pPr>
    </w:p>
    <w:p w14:paraId="41F716ED">
      <w:pPr>
        <w:pStyle w:val="37"/>
        <w:tabs>
          <w:tab w:val="decimal" w:pos="315"/>
          <w:tab w:val="left" w:pos="630"/>
        </w:tabs>
        <w:ind w:left="210" w:firstLine="0" w:firstLineChars="0"/>
        <w:rPr>
          <w:rFonts w:hint="eastAsia"/>
          <w:b/>
          <w:bCs/>
          <w:highlight w:val="none"/>
        </w:rPr>
      </w:pPr>
    </w:p>
    <w:p w14:paraId="5ED42C15">
      <w:pPr>
        <w:pStyle w:val="37"/>
        <w:tabs>
          <w:tab w:val="decimal" w:pos="315"/>
          <w:tab w:val="left" w:pos="630"/>
        </w:tabs>
        <w:ind w:left="210" w:firstLine="0" w:firstLineChars="0"/>
        <w:rPr>
          <w:rFonts w:hint="eastAsia"/>
          <w:b/>
          <w:bCs/>
          <w:highlight w:val="none"/>
        </w:rPr>
      </w:pPr>
    </w:p>
    <w:p w14:paraId="4AE5DAEB">
      <w:pPr>
        <w:pStyle w:val="37"/>
        <w:tabs>
          <w:tab w:val="decimal" w:pos="315"/>
          <w:tab w:val="left" w:pos="630"/>
        </w:tabs>
        <w:ind w:left="210" w:firstLine="0" w:firstLineChars="0"/>
        <w:rPr>
          <w:rFonts w:hint="eastAsia"/>
          <w:b/>
          <w:bCs/>
          <w:highlight w:val="none"/>
        </w:rPr>
      </w:pPr>
    </w:p>
    <w:p w14:paraId="373D85C7">
      <w:pPr>
        <w:pStyle w:val="37"/>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w:t>
      </w:r>
      <w:r>
        <w:rPr>
          <w:rFonts w:hint="eastAsia" w:cs="Times New Roman"/>
          <w:b/>
          <w:bCs/>
          <w:highlight w:val="none"/>
          <w:lang w:val="en-US" w:eastAsia="zh-CN"/>
        </w:rPr>
        <w:t>六</w:t>
      </w:r>
      <w:r>
        <w:rPr>
          <w:rFonts w:hint="eastAsia" w:ascii="Times New Roman" w:hAnsi="Times New Roman" w:eastAsia="宋体" w:cs="Times New Roman"/>
          <w:b/>
          <w:bCs/>
          <w:highlight w:val="none"/>
          <w:lang w:val="en-US" w:eastAsia="zh-CN"/>
        </w:rPr>
        <w:t>：</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10"/>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73BC6DA6">
      <w:pPr>
        <w:rPr>
          <w:rFonts w:hint="eastAsia"/>
          <w:highlight w:val="none"/>
        </w:rPr>
      </w:pPr>
    </w:p>
    <w:p w14:paraId="065EB560">
      <w:pPr>
        <w:pStyle w:val="37"/>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w:t>
      </w:r>
      <w:r>
        <w:rPr>
          <w:rFonts w:hint="eastAsia" w:cs="Times New Roman"/>
          <w:b/>
          <w:bCs/>
          <w:highlight w:val="none"/>
          <w:lang w:val="en-US" w:eastAsia="zh-CN"/>
        </w:rPr>
        <w:t>七</w:t>
      </w:r>
      <w:r>
        <w:rPr>
          <w:rFonts w:hint="eastAsia" w:ascii="Times New Roman" w:hAnsi="Times New Roman" w:eastAsia="宋体" w:cs="Times New Roman"/>
          <w:b/>
          <w:bCs/>
          <w:highlight w:val="none"/>
          <w:lang w:val="en-US" w:eastAsia="zh-CN"/>
        </w:rPr>
        <w:t>：</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10"/>
        <w:rPr>
          <w:highlight w:val="none"/>
        </w:rPr>
      </w:pPr>
    </w:p>
    <w:p w14:paraId="6C2DF059">
      <w:pPr>
        <w:rPr>
          <w:highlight w:val="none"/>
        </w:rPr>
      </w:pPr>
    </w:p>
    <w:p w14:paraId="64AA7248">
      <w:pPr>
        <w:pStyle w:val="10"/>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22"/>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7"/>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w:t>
      </w:r>
      <w:r>
        <w:rPr>
          <w:rFonts w:hint="eastAsia" w:cs="Times New Roman"/>
          <w:b/>
          <w:bCs/>
          <w:highlight w:val="none"/>
          <w:lang w:val="en-US" w:eastAsia="zh-CN"/>
        </w:rPr>
        <w:t>八</w:t>
      </w:r>
      <w:r>
        <w:rPr>
          <w:rFonts w:hint="eastAsia" w:ascii="Times New Roman" w:hAnsi="Times New Roman" w:eastAsia="宋体" w:cs="Times New Roman"/>
          <w:b/>
          <w:bCs/>
          <w:highlight w:val="none"/>
          <w:lang w:val="en-US" w:eastAsia="zh-CN"/>
        </w:rPr>
        <w:t>：</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4"/>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4"/>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9A578"/>
    <w:multiLevelType w:val="multilevel"/>
    <w:tmpl w:val="A029A57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abstractNum w:abstractNumId="3">
    <w:nsid w:val="6CB11091"/>
    <w:multiLevelType w:val="singleLevel"/>
    <w:tmpl w:val="6CB11091"/>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6BE5"/>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494A1D"/>
    <w:rsid w:val="01581316"/>
    <w:rsid w:val="017B1129"/>
    <w:rsid w:val="01E90844"/>
    <w:rsid w:val="020C7A9F"/>
    <w:rsid w:val="0236335D"/>
    <w:rsid w:val="026F4134"/>
    <w:rsid w:val="027D172A"/>
    <w:rsid w:val="02B71832"/>
    <w:rsid w:val="02BD28BB"/>
    <w:rsid w:val="034A16B3"/>
    <w:rsid w:val="034B6DE4"/>
    <w:rsid w:val="03AE5E66"/>
    <w:rsid w:val="03D96696"/>
    <w:rsid w:val="04321AE1"/>
    <w:rsid w:val="044959C1"/>
    <w:rsid w:val="04956AE0"/>
    <w:rsid w:val="04BD38C2"/>
    <w:rsid w:val="05415DAA"/>
    <w:rsid w:val="059B12C3"/>
    <w:rsid w:val="05A037E6"/>
    <w:rsid w:val="06070569"/>
    <w:rsid w:val="060E35DA"/>
    <w:rsid w:val="06345E06"/>
    <w:rsid w:val="064F6E71"/>
    <w:rsid w:val="0654635C"/>
    <w:rsid w:val="06AD62E4"/>
    <w:rsid w:val="07A11C91"/>
    <w:rsid w:val="07B36F67"/>
    <w:rsid w:val="08127715"/>
    <w:rsid w:val="08242341"/>
    <w:rsid w:val="08365E65"/>
    <w:rsid w:val="084240B7"/>
    <w:rsid w:val="089D7DD2"/>
    <w:rsid w:val="08B752BB"/>
    <w:rsid w:val="08D44105"/>
    <w:rsid w:val="09092FFD"/>
    <w:rsid w:val="09322AD0"/>
    <w:rsid w:val="09457797"/>
    <w:rsid w:val="09E56F0E"/>
    <w:rsid w:val="09E76A06"/>
    <w:rsid w:val="0A0E482C"/>
    <w:rsid w:val="0A2148F3"/>
    <w:rsid w:val="0A3C2768"/>
    <w:rsid w:val="0A645793"/>
    <w:rsid w:val="0ABB4D47"/>
    <w:rsid w:val="0ACC2AB1"/>
    <w:rsid w:val="0B077F8D"/>
    <w:rsid w:val="0B3B7316"/>
    <w:rsid w:val="0B694A92"/>
    <w:rsid w:val="0BE44FDB"/>
    <w:rsid w:val="0C5332C3"/>
    <w:rsid w:val="0C6F5DE9"/>
    <w:rsid w:val="0CA75583"/>
    <w:rsid w:val="0CC872A8"/>
    <w:rsid w:val="0CF85DDF"/>
    <w:rsid w:val="0D5A6D87"/>
    <w:rsid w:val="0D611BD6"/>
    <w:rsid w:val="0D847C4F"/>
    <w:rsid w:val="0D8542C2"/>
    <w:rsid w:val="0D884CCF"/>
    <w:rsid w:val="0D9C676A"/>
    <w:rsid w:val="0E355B19"/>
    <w:rsid w:val="0E536A00"/>
    <w:rsid w:val="0E5B5FC3"/>
    <w:rsid w:val="0E7A5E55"/>
    <w:rsid w:val="0E8518F4"/>
    <w:rsid w:val="0EB300C3"/>
    <w:rsid w:val="0F4B6AF4"/>
    <w:rsid w:val="0F4C0F63"/>
    <w:rsid w:val="0FA20891"/>
    <w:rsid w:val="0FA71E6F"/>
    <w:rsid w:val="0FD5219C"/>
    <w:rsid w:val="0FD92330"/>
    <w:rsid w:val="0FE13D46"/>
    <w:rsid w:val="10105367"/>
    <w:rsid w:val="10194349"/>
    <w:rsid w:val="101E3440"/>
    <w:rsid w:val="10473C8D"/>
    <w:rsid w:val="105C411B"/>
    <w:rsid w:val="11763118"/>
    <w:rsid w:val="11973186"/>
    <w:rsid w:val="11AD2023"/>
    <w:rsid w:val="11DF131B"/>
    <w:rsid w:val="120F351E"/>
    <w:rsid w:val="122F22A3"/>
    <w:rsid w:val="1233690D"/>
    <w:rsid w:val="126C0948"/>
    <w:rsid w:val="12926EFA"/>
    <w:rsid w:val="12B66D8B"/>
    <w:rsid w:val="12DD7FB1"/>
    <w:rsid w:val="13065F6D"/>
    <w:rsid w:val="131807C2"/>
    <w:rsid w:val="133032AB"/>
    <w:rsid w:val="1335117B"/>
    <w:rsid w:val="13731CA7"/>
    <w:rsid w:val="13946135"/>
    <w:rsid w:val="139E4104"/>
    <w:rsid w:val="13C46CE8"/>
    <w:rsid w:val="13CD3690"/>
    <w:rsid w:val="13F66FF5"/>
    <w:rsid w:val="13F84916"/>
    <w:rsid w:val="14147066"/>
    <w:rsid w:val="141B4D12"/>
    <w:rsid w:val="14847063"/>
    <w:rsid w:val="14A34167"/>
    <w:rsid w:val="14A64DE1"/>
    <w:rsid w:val="14BC4BF2"/>
    <w:rsid w:val="14CB1683"/>
    <w:rsid w:val="14CF6317"/>
    <w:rsid w:val="14E951B7"/>
    <w:rsid w:val="14F415B7"/>
    <w:rsid w:val="15254E58"/>
    <w:rsid w:val="155410C2"/>
    <w:rsid w:val="155E1C7E"/>
    <w:rsid w:val="156D5B46"/>
    <w:rsid w:val="15AD05C9"/>
    <w:rsid w:val="16225C7A"/>
    <w:rsid w:val="164134C1"/>
    <w:rsid w:val="16B50547"/>
    <w:rsid w:val="173F7E2B"/>
    <w:rsid w:val="177C75B8"/>
    <w:rsid w:val="17A90CD9"/>
    <w:rsid w:val="17C52DCA"/>
    <w:rsid w:val="17F8087D"/>
    <w:rsid w:val="180715CC"/>
    <w:rsid w:val="180C6E5D"/>
    <w:rsid w:val="1810078A"/>
    <w:rsid w:val="181D2269"/>
    <w:rsid w:val="1864257A"/>
    <w:rsid w:val="1876405C"/>
    <w:rsid w:val="18DC33FE"/>
    <w:rsid w:val="18FC5C71"/>
    <w:rsid w:val="190E5A1C"/>
    <w:rsid w:val="19102702"/>
    <w:rsid w:val="19150DE7"/>
    <w:rsid w:val="19163892"/>
    <w:rsid w:val="193D4365"/>
    <w:rsid w:val="19730A26"/>
    <w:rsid w:val="1977008B"/>
    <w:rsid w:val="199839CC"/>
    <w:rsid w:val="19B56EAA"/>
    <w:rsid w:val="19BC1F42"/>
    <w:rsid w:val="1A0F6C37"/>
    <w:rsid w:val="1A361CF4"/>
    <w:rsid w:val="1A3F2338"/>
    <w:rsid w:val="1A4F1E3F"/>
    <w:rsid w:val="1A69031C"/>
    <w:rsid w:val="1A9D7B4F"/>
    <w:rsid w:val="1AA73D43"/>
    <w:rsid w:val="1AB70828"/>
    <w:rsid w:val="1AF2145B"/>
    <w:rsid w:val="1B2750C0"/>
    <w:rsid w:val="1B3D23C9"/>
    <w:rsid w:val="1BD96C26"/>
    <w:rsid w:val="1BF2030E"/>
    <w:rsid w:val="1C0344CD"/>
    <w:rsid w:val="1C24274C"/>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0C793C"/>
    <w:rsid w:val="1E3B3B3B"/>
    <w:rsid w:val="1E3E12CD"/>
    <w:rsid w:val="1E6B051A"/>
    <w:rsid w:val="1E7E516C"/>
    <w:rsid w:val="1E852CF4"/>
    <w:rsid w:val="1E8B0B22"/>
    <w:rsid w:val="1EB25396"/>
    <w:rsid w:val="1EC57CD6"/>
    <w:rsid w:val="1EE73F05"/>
    <w:rsid w:val="1F3B432C"/>
    <w:rsid w:val="1F524E61"/>
    <w:rsid w:val="1F710084"/>
    <w:rsid w:val="1F7C3313"/>
    <w:rsid w:val="1F9976C0"/>
    <w:rsid w:val="1FBA5C33"/>
    <w:rsid w:val="1FF132AA"/>
    <w:rsid w:val="20731E86"/>
    <w:rsid w:val="21580905"/>
    <w:rsid w:val="22450DA6"/>
    <w:rsid w:val="228D7EAD"/>
    <w:rsid w:val="22BB6BAD"/>
    <w:rsid w:val="23065E2F"/>
    <w:rsid w:val="230D3FCA"/>
    <w:rsid w:val="231030DA"/>
    <w:rsid w:val="23294316"/>
    <w:rsid w:val="23501E59"/>
    <w:rsid w:val="23665561"/>
    <w:rsid w:val="239548FA"/>
    <w:rsid w:val="23B945D3"/>
    <w:rsid w:val="23BB3E7D"/>
    <w:rsid w:val="23C034FC"/>
    <w:rsid w:val="23C93DE0"/>
    <w:rsid w:val="24160FEF"/>
    <w:rsid w:val="244F1137"/>
    <w:rsid w:val="247F38D4"/>
    <w:rsid w:val="24AE4EC9"/>
    <w:rsid w:val="24C03D91"/>
    <w:rsid w:val="24E11EBE"/>
    <w:rsid w:val="24E66811"/>
    <w:rsid w:val="25054BD9"/>
    <w:rsid w:val="250F3FB0"/>
    <w:rsid w:val="253357AE"/>
    <w:rsid w:val="25816F63"/>
    <w:rsid w:val="2588078D"/>
    <w:rsid w:val="25C2328F"/>
    <w:rsid w:val="25CC0B6B"/>
    <w:rsid w:val="25DB120B"/>
    <w:rsid w:val="25DC73B6"/>
    <w:rsid w:val="25EA190B"/>
    <w:rsid w:val="26613359"/>
    <w:rsid w:val="2661459D"/>
    <w:rsid w:val="26A40BF9"/>
    <w:rsid w:val="26A67AEB"/>
    <w:rsid w:val="26AC3A6A"/>
    <w:rsid w:val="26E77012"/>
    <w:rsid w:val="26F44B99"/>
    <w:rsid w:val="27736336"/>
    <w:rsid w:val="27834D68"/>
    <w:rsid w:val="27DC212D"/>
    <w:rsid w:val="27F50B98"/>
    <w:rsid w:val="281F2D00"/>
    <w:rsid w:val="28702D83"/>
    <w:rsid w:val="28800C4E"/>
    <w:rsid w:val="2885195F"/>
    <w:rsid w:val="28E53263"/>
    <w:rsid w:val="290D688F"/>
    <w:rsid w:val="290F208E"/>
    <w:rsid w:val="29303E2B"/>
    <w:rsid w:val="29474174"/>
    <w:rsid w:val="29B669AE"/>
    <w:rsid w:val="29CF181E"/>
    <w:rsid w:val="29D639B5"/>
    <w:rsid w:val="2A7F2E91"/>
    <w:rsid w:val="2A8266C2"/>
    <w:rsid w:val="2ABB0720"/>
    <w:rsid w:val="2AC35C5A"/>
    <w:rsid w:val="2AD22DDE"/>
    <w:rsid w:val="2AE0038E"/>
    <w:rsid w:val="2AF163EF"/>
    <w:rsid w:val="2B0611F2"/>
    <w:rsid w:val="2BAD4394"/>
    <w:rsid w:val="2C0D7F3B"/>
    <w:rsid w:val="2C2B4F37"/>
    <w:rsid w:val="2C376C2F"/>
    <w:rsid w:val="2D572256"/>
    <w:rsid w:val="2D7F1A29"/>
    <w:rsid w:val="2DA74F35"/>
    <w:rsid w:val="2DD07B0B"/>
    <w:rsid w:val="2E47051C"/>
    <w:rsid w:val="2E493F85"/>
    <w:rsid w:val="2E6402CC"/>
    <w:rsid w:val="2E65537E"/>
    <w:rsid w:val="2EA46F2C"/>
    <w:rsid w:val="2EC86DBC"/>
    <w:rsid w:val="2EFF6701"/>
    <w:rsid w:val="2F1F122A"/>
    <w:rsid w:val="2F215FF3"/>
    <w:rsid w:val="2F862C22"/>
    <w:rsid w:val="2FE847F6"/>
    <w:rsid w:val="304932B5"/>
    <w:rsid w:val="30540A12"/>
    <w:rsid w:val="306C4391"/>
    <w:rsid w:val="309C75DC"/>
    <w:rsid w:val="30C7600D"/>
    <w:rsid w:val="30D3701B"/>
    <w:rsid w:val="30E90739"/>
    <w:rsid w:val="311324BC"/>
    <w:rsid w:val="31293AA7"/>
    <w:rsid w:val="314E4A9B"/>
    <w:rsid w:val="31672DFC"/>
    <w:rsid w:val="318B0193"/>
    <w:rsid w:val="318B7B2F"/>
    <w:rsid w:val="320F2EF1"/>
    <w:rsid w:val="32292413"/>
    <w:rsid w:val="32AC094E"/>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C12A64"/>
    <w:rsid w:val="35EB449F"/>
    <w:rsid w:val="35EF5721"/>
    <w:rsid w:val="35EF616F"/>
    <w:rsid w:val="362A1F41"/>
    <w:rsid w:val="3634544E"/>
    <w:rsid w:val="364439E4"/>
    <w:rsid w:val="367478B5"/>
    <w:rsid w:val="3679148F"/>
    <w:rsid w:val="36AF18A3"/>
    <w:rsid w:val="36C16F69"/>
    <w:rsid w:val="36F76F6F"/>
    <w:rsid w:val="37536184"/>
    <w:rsid w:val="37B426A3"/>
    <w:rsid w:val="37FC25E8"/>
    <w:rsid w:val="381D0162"/>
    <w:rsid w:val="383A72A1"/>
    <w:rsid w:val="38A47258"/>
    <w:rsid w:val="38AD3B89"/>
    <w:rsid w:val="39210D1B"/>
    <w:rsid w:val="394E275F"/>
    <w:rsid w:val="395835DE"/>
    <w:rsid w:val="39706F1A"/>
    <w:rsid w:val="397D4B67"/>
    <w:rsid w:val="398654C1"/>
    <w:rsid w:val="39D249D2"/>
    <w:rsid w:val="3A0604FB"/>
    <w:rsid w:val="3ABC4E9A"/>
    <w:rsid w:val="3AC16F61"/>
    <w:rsid w:val="3ACD7016"/>
    <w:rsid w:val="3B1629BB"/>
    <w:rsid w:val="3B19704C"/>
    <w:rsid w:val="3B425FF9"/>
    <w:rsid w:val="3B9207E8"/>
    <w:rsid w:val="3B96408D"/>
    <w:rsid w:val="3BA157A6"/>
    <w:rsid w:val="3C0E2679"/>
    <w:rsid w:val="3C2D4A5B"/>
    <w:rsid w:val="3C7B1343"/>
    <w:rsid w:val="3CB02E28"/>
    <w:rsid w:val="3CEB4A5B"/>
    <w:rsid w:val="3D0C031A"/>
    <w:rsid w:val="3D371009"/>
    <w:rsid w:val="3D7409C7"/>
    <w:rsid w:val="3DA13D5E"/>
    <w:rsid w:val="3DA97FFD"/>
    <w:rsid w:val="3DB647D3"/>
    <w:rsid w:val="3DBF59D9"/>
    <w:rsid w:val="3E2D5311"/>
    <w:rsid w:val="3E9B73AF"/>
    <w:rsid w:val="3EAF249C"/>
    <w:rsid w:val="3EB968CD"/>
    <w:rsid w:val="3ED100BA"/>
    <w:rsid w:val="3F0264C5"/>
    <w:rsid w:val="3F1E2BD3"/>
    <w:rsid w:val="3F290C82"/>
    <w:rsid w:val="3F542A99"/>
    <w:rsid w:val="3FBD0BAE"/>
    <w:rsid w:val="3FD50418"/>
    <w:rsid w:val="3FF62ABE"/>
    <w:rsid w:val="403F6094"/>
    <w:rsid w:val="40884DD4"/>
    <w:rsid w:val="41357C9D"/>
    <w:rsid w:val="41384034"/>
    <w:rsid w:val="41F45E6E"/>
    <w:rsid w:val="41FB38E8"/>
    <w:rsid w:val="42184B9F"/>
    <w:rsid w:val="421D7F4B"/>
    <w:rsid w:val="42717540"/>
    <w:rsid w:val="42894042"/>
    <w:rsid w:val="42C7049C"/>
    <w:rsid w:val="42CB76A9"/>
    <w:rsid w:val="42D431E1"/>
    <w:rsid w:val="434D7F2B"/>
    <w:rsid w:val="437316E5"/>
    <w:rsid w:val="43780E57"/>
    <w:rsid w:val="43830078"/>
    <w:rsid w:val="43C91598"/>
    <w:rsid w:val="43DD4B86"/>
    <w:rsid w:val="444706C2"/>
    <w:rsid w:val="445B3FBA"/>
    <w:rsid w:val="447B2DE3"/>
    <w:rsid w:val="44B96FF5"/>
    <w:rsid w:val="451D6A30"/>
    <w:rsid w:val="45350C77"/>
    <w:rsid w:val="46366B4D"/>
    <w:rsid w:val="466225D9"/>
    <w:rsid w:val="46674A02"/>
    <w:rsid w:val="46792BEA"/>
    <w:rsid w:val="469D2F78"/>
    <w:rsid w:val="46DF78FC"/>
    <w:rsid w:val="471E284C"/>
    <w:rsid w:val="473A2E29"/>
    <w:rsid w:val="477E75DC"/>
    <w:rsid w:val="478265E6"/>
    <w:rsid w:val="479613BE"/>
    <w:rsid w:val="47F92762"/>
    <w:rsid w:val="480C6CE1"/>
    <w:rsid w:val="486440DC"/>
    <w:rsid w:val="48824A73"/>
    <w:rsid w:val="4883477C"/>
    <w:rsid w:val="48C90054"/>
    <w:rsid w:val="49160E35"/>
    <w:rsid w:val="491A11EF"/>
    <w:rsid w:val="49230C0F"/>
    <w:rsid w:val="496D09DF"/>
    <w:rsid w:val="498C2647"/>
    <w:rsid w:val="49C32CF5"/>
    <w:rsid w:val="49C64593"/>
    <w:rsid w:val="49F04B27"/>
    <w:rsid w:val="49FB78F0"/>
    <w:rsid w:val="4A0F5F3A"/>
    <w:rsid w:val="4A237C8D"/>
    <w:rsid w:val="4A2A1CE5"/>
    <w:rsid w:val="4A6972CF"/>
    <w:rsid w:val="4A8C758B"/>
    <w:rsid w:val="4AE36536"/>
    <w:rsid w:val="4B00619D"/>
    <w:rsid w:val="4B215BCE"/>
    <w:rsid w:val="4B4B11F4"/>
    <w:rsid w:val="4B4B30CF"/>
    <w:rsid w:val="4B6309DD"/>
    <w:rsid w:val="4B642760"/>
    <w:rsid w:val="4B8C5FE6"/>
    <w:rsid w:val="4BA13F1F"/>
    <w:rsid w:val="4BBC79FC"/>
    <w:rsid w:val="4BC91BB0"/>
    <w:rsid w:val="4BDC3B73"/>
    <w:rsid w:val="4BE965EB"/>
    <w:rsid w:val="4C21718C"/>
    <w:rsid w:val="4C39729F"/>
    <w:rsid w:val="4C5161C0"/>
    <w:rsid w:val="4C7402D7"/>
    <w:rsid w:val="4CA43241"/>
    <w:rsid w:val="4D1346AD"/>
    <w:rsid w:val="4D856E88"/>
    <w:rsid w:val="4D89074D"/>
    <w:rsid w:val="4D922C00"/>
    <w:rsid w:val="4DCC3D25"/>
    <w:rsid w:val="4DE75F58"/>
    <w:rsid w:val="4DED20EF"/>
    <w:rsid w:val="4DFC00DF"/>
    <w:rsid w:val="4DFC21F6"/>
    <w:rsid w:val="4E0B6A19"/>
    <w:rsid w:val="4E120529"/>
    <w:rsid w:val="4E1D48F7"/>
    <w:rsid w:val="4E2B33DD"/>
    <w:rsid w:val="4E3B747F"/>
    <w:rsid w:val="4E4C7020"/>
    <w:rsid w:val="4E63455A"/>
    <w:rsid w:val="4E940495"/>
    <w:rsid w:val="4E9F47B7"/>
    <w:rsid w:val="4EC008C2"/>
    <w:rsid w:val="4EC359BE"/>
    <w:rsid w:val="4EF120B3"/>
    <w:rsid w:val="4F093CA9"/>
    <w:rsid w:val="4F4526FF"/>
    <w:rsid w:val="4F543775"/>
    <w:rsid w:val="4F5E3989"/>
    <w:rsid w:val="4F950C67"/>
    <w:rsid w:val="4FD82C64"/>
    <w:rsid w:val="50040528"/>
    <w:rsid w:val="50306369"/>
    <w:rsid w:val="50563C2C"/>
    <w:rsid w:val="507A161B"/>
    <w:rsid w:val="509D3A3D"/>
    <w:rsid w:val="50B23FA3"/>
    <w:rsid w:val="50DD7301"/>
    <w:rsid w:val="51275075"/>
    <w:rsid w:val="51306EED"/>
    <w:rsid w:val="51AA37E9"/>
    <w:rsid w:val="51EA0E43"/>
    <w:rsid w:val="52577A0A"/>
    <w:rsid w:val="52703326"/>
    <w:rsid w:val="528079D5"/>
    <w:rsid w:val="52AB1BDC"/>
    <w:rsid w:val="52C2229C"/>
    <w:rsid w:val="52C8312A"/>
    <w:rsid w:val="52D91B65"/>
    <w:rsid w:val="52DB7476"/>
    <w:rsid w:val="531D551D"/>
    <w:rsid w:val="533015C4"/>
    <w:rsid w:val="534D53DE"/>
    <w:rsid w:val="534E1C07"/>
    <w:rsid w:val="535C52E6"/>
    <w:rsid w:val="536F7921"/>
    <w:rsid w:val="537137C2"/>
    <w:rsid w:val="53803128"/>
    <w:rsid w:val="53A85FDD"/>
    <w:rsid w:val="53C64393"/>
    <w:rsid w:val="54767E7A"/>
    <w:rsid w:val="54E978DB"/>
    <w:rsid w:val="54FF433E"/>
    <w:rsid w:val="55513BBF"/>
    <w:rsid w:val="556C7EFE"/>
    <w:rsid w:val="55785749"/>
    <w:rsid w:val="55D1679A"/>
    <w:rsid w:val="55F3226C"/>
    <w:rsid w:val="56292694"/>
    <w:rsid w:val="56457A9E"/>
    <w:rsid w:val="56B22C1E"/>
    <w:rsid w:val="56C810A5"/>
    <w:rsid w:val="56E973C7"/>
    <w:rsid w:val="57031B32"/>
    <w:rsid w:val="573F761C"/>
    <w:rsid w:val="574657B9"/>
    <w:rsid w:val="57925AB5"/>
    <w:rsid w:val="57A57489"/>
    <w:rsid w:val="57A87BB0"/>
    <w:rsid w:val="57BE43CE"/>
    <w:rsid w:val="57CA29DE"/>
    <w:rsid w:val="57F067B7"/>
    <w:rsid w:val="584A1532"/>
    <w:rsid w:val="58A75C91"/>
    <w:rsid w:val="58D75E75"/>
    <w:rsid w:val="58FF0E19"/>
    <w:rsid w:val="59182329"/>
    <w:rsid w:val="59785AD5"/>
    <w:rsid w:val="59C57F5B"/>
    <w:rsid w:val="5A3B0749"/>
    <w:rsid w:val="5A5D046C"/>
    <w:rsid w:val="5A9650A1"/>
    <w:rsid w:val="5AA12AF6"/>
    <w:rsid w:val="5AD325CA"/>
    <w:rsid w:val="5AE4424C"/>
    <w:rsid w:val="5B01542B"/>
    <w:rsid w:val="5B3538D8"/>
    <w:rsid w:val="5B88216D"/>
    <w:rsid w:val="5BEE75D9"/>
    <w:rsid w:val="5BF136F2"/>
    <w:rsid w:val="5BF42158"/>
    <w:rsid w:val="5C013996"/>
    <w:rsid w:val="5C2C01DC"/>
    <w:rsid w:val="5C5411D8"/>
    <w:rsid w:val="5C9522CF"/>
    <w:rsid w:val="5CF74222"/>
    <w:rsid w:val="5D337249"/>
    <w:rsid w:val="5D530FE7"/>
    <w:rsid w:val="5D87651F"/>
    <w:rsid w:val="5DBF146B"/>
    <w:rsid w:val="5E057603"/>
    <w:rsid w:val="5E0F60B1"/>
    <w:rsid w:val="5E1F0056"/>
    <w:rsid w:val="5E7D786B"/>
    <w:rsid w:val="5E9A60E7"/>
    <w:rsid w:val="5E9D755E"/>
    <w:rsid w:val="5EBA003B"/>
    <w:rsid w:val="5EE66482"/>
    <w:rsid w:val="5F8F1C5A"/>
    <w:rsid w:val="5FA92695"/>
    <w:rsid w:val="5FB82473"/>
    <w:rsid w:val="5FF516A8"/>
    <w:rsid w:val="604A6791"/>
    <w:rsid w:val="605B59B8"/>
    <w:rsid w:val="605E718A"/>
    <w:rsid w:val="60952414"/>
    <w:rsid w:val="60C253EF"/>
    <w:rsid w:val="60D80F17"/>
    <w:rsid w:val="60D84475"/>
    <w:rsid w:val="60EC39AD"/>
    <w:rsid w:val="60EE114C"/>
    <w:rsid w:val="61564461"/>
    <w:rsid w:val="61642270"/>
    <w:rsid w:val="619B0AFB"/>
    <w:rsid w:val="61DD4664"/>
    <w:rsid w:val="61E11B13"/>
    <w:rsid w:val="61E11E81"/>
    <w:rsid w:val="62347E94"/>
    <w:rsid w:val="62410803"/>
    <w:rsid w:val="62B561CE"/>
    <w:rsid w:val="62C1183B"/>
    <w:rsid w:val="62C53944"/>
    <w:rsid w:val="63935E5F"/>
    <w:rsid w:val="63AD64A6"/>
    <w:rsid w:val="647519F7"/>
    <w:rsid w:val="648D6F4F"/>
    <w:rsid w:val="64D511EA"/>
    <w:rsid w:val="64F93374"/>
    <w:rsid w:val="65007483"/>
    <w:rsid w:val="65012EF0"/>
    <w:rsid w:val="652341F0"/>
    <w:rsid w:val="654215C6"/>
    <w:rsid w:val="657C227E"/>
    <w:rsid w:val="65E44122"/>
    <w:rsid w:val="65F17C26"/>
    <w:rsid w:val="66246472"/>
    <w:rsid w:val="669B2BD8"/>
    <w:rsid w:val="66C71B4A"/>
    <w:rsid w:val="66C867D8"/>
    <w:rsid w:val="67456B1F"/>
    <w:rsid w:val="675370B0"/>
    <w:rsid w:val="67634DBC"/>
    <w:rsid w:val="679B3E58"/>
    <w:rsid w:val="67A624E1"/>
    <w:rsid w:val="67E124EF"/>
    <w:rsid w:val="68226DDF"/>
    <w:rsid w:val="6836628F"/>
    <w:rsid w:val="68546788"/>
    <w:rsid w:val="686A754B"/>
    <w:rsid w:val="687F77BE"/>
    <w:rsid w:val="68945FF2"/>
    <w:rsid w:val="68B04D04"/>
    <w:rsid w:val="68C658C4"/>
    <w:rsid w:val="696F43F9"/>
    <w:rsid w:val="697D4817"/>
    <w:rsid w:val="69B71581"/>
    <w:rsid w:val="69CF09C8"/>
    <w:rsid w:val="69FC7974"/>
    <w:rsid w:val="6A0F23D8"/>
    <w:rsid w:val="6A221D21"/>
    <w:rsid w:val="6A2C5CCD"/>
    <w:rsid w:val="6A45798C"/>
    <w:rsid w:val="6A553C18"/>
    <w:rsid w:val="6A7721C1"/>
    <w:rsid w:val="6A8D7EEC"/>
    <w:rsid w:val="6AA54025"/>
    <w:rsid w:val="6AC4522D"/>
    <w:rsid w:val="6B1104B4"/>
    <w:rsid w:val="6B362F75"/>
    <w:rsid w:val="6C04178A"/>
    <w:rsid w:val="6C11269F"/>
    <w:rsid w:val="6C2A5903"/>
    <w:rsid w:val="6C355466"/>
    <w:rsid w:val="6C4255C7"/>
    <w:rsid w:val="6D745F31"/>
    <w:rsid w:val="6D761B68"/>
    <w:rsid w:val="6DD46C2D"/>
    <w:rsid w:val="6E506F8F"/>
    <w:rsid w:val="6EAB5982"/>
    <w:rsid w:val="6EC84708"/>
    <w:rsid w:val="6F1572A0"/>
    <w:rsid w:val="6F3911E0"/>
    <w:rsid w:val="6FA74FF3"/>
    <w:rsid w:val="6FBD6F8D"/>
    <w:rsid w:val="6FF05465"/>
    <w:rsid w:val="6FF92EFA"/>
    <w:rsid w:val="7048642E"/>
    <w:rsid w:val="70675C74"/>
    <w:rsid w:val="70741DA4"/>
    <w:rsid w:val="70B622DA"/>
    <w:rsid w:val="70C816C5"/>
    <w:rsid w:val="70D1632C"/>
    <w:rsid w:val="70DF707F"/>
    <w:rsid w:val="715E167E"/>
    <w:rsid w:val="718D136F"/>
    <w:rsid w:val="71B53214"/>
    <w:rsid w:val="71C97B84"/>
    <w:rsid w:val="72117F55"/>
    <w:rsid w:val="727A0BE5"/>
    <w:rsid w:val="72C23C67"/>
    <w:rsid w:val="73335F46"/>
    <w:rsid w:val="737B724B"/>
    <w:rsid w:val="737E3665"/>
    <w:rsid w:val="73804649"/>
    <w:rsid w:val="7418624A"/>
    <w:rsid w:val="741915E0"/>
    <w:rsid w:val="741C1A4E"/>
    <w:rsid w:val="741C3848"/>
    <w:rsid w:val="743B50B2"/>
    <w:rsid w:val="749649DF"/>
    <w:rsid w:val="74A91A49"/>
    <w:rsid w:val="74A9247D"/>
    <w:rsid w:val="75166107"/>
    <w:rsid w:val="752E4D12"/>
    <w:rsid w:val="75361222"/>
    <w:rsid w:val="754356EA"/>
    <w:rsid w:val="755954E2"/>
    <w:rsid w:val="7575776E"/>
    <w:rsid w:val="757A60AE"/>
    <w:rsid w:val="75B415C0"/>
    <w:rsid w:val="75C103EF"/>
    <w:rsid w:val="75E15C9A"/>
    <w:rsid w:val="75F431FF"/>
    <w:rsid w:val="760C4FC0"/>
    <w:rsid w:val="764D77F8"/>
    <w:rsid w:val="766D10AA"/>
    <w:rsid w:val="767605BC"/>
    <w:rsid w:val="76B63116"/>
    <w:rsid w:val="76D70A6A"/>
    <w:rsid w:val="77200373"/>
    <w:rsid w:val="77216F4A"/>
    <w:rsid w:val="774748A0"/>
    <w:rsid w:val="774B06EA"/>
    <w:rsid w:val="775B1491"/>
    <w:rsid w:val="77A95037"/>
    <w:rsid w:val="77D446F7"/>
    <w:rsid w:val="77DE1B76"/>
    <w:rsid w:val="780B759D"/>
    <w:rsid w:val="782D78AE"/>
    <w:rsid w:val="78406D92"/>
    <w:rsid w:val="786101C1"/>
    <w:rsid w:val="786A6017"/>
    <w:rsid w:val="78C0565A"/>
    <w:rsid w:val="78C12D83"/>
    <w:rsid w:val="78CF0F6E"/>
    <w:rsid w:val="78E4686E"/>
    <w:rsid w:val="78FF6FF6"/>
    <w:rsid w:val="797F6A72"/>
    <w:rsid w:val="798B12FD"/>
    <w:rsid w:val="79927E6B"/>
    <w:rsid w:val="79D614B8"/>
    <w:rsid w:val="7B4E4990"/>
    <w:rsid w:val="7B8049A7"/>
    <w:rsid w:val="7BD30CC7"/>
    <w:rsid w:val="7BD563DA"/>
    <w:rsid w:val="7BD61B65"/>
    <w:rsid w:val="7C6C4FDB"/>
    <w:rsid w:val="7C8F163B"/>
    <w:rsid w:val="7CAA0ADC"/>
    <w:rsid w:val="7D1B1F25"/>
    <w:rsid w:val="7D4B2583"/>
    <w:rsid w:val="7DFD696E"/>
    <w:rsid w:val="7E0843C1"/>
    <w:rsid w:val="7E17093E"/>
    <w:rsid w:val="7EA00289"/>
    <w:rsid w:val="7EBB39E6"/>
    <w:rsid w:val="7F012530"/>
    <w:rsid w:val="7F0A7EBE"/>
    <w:rsid w:val="7F477001"/>
    <w:rsid w:val="7FAA2E4F"/>
    <w:rsid w:val="7FD14B1D"/>
    <w:rsid w:val="7FF268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qFormat/>
    <w:uiPriority w:val="0"/>
    <w:pPr>
      <w:keepNext/>
      <w:spacing w:before="240" w:after="60"/>
      <w:outlineLvl w:val="1"/>
    </w:pPr>
    <w:rPr>
      <w:rFonts w:ascii="Arial" w:hAnsi="Arial" w:eastAsia="黑体"/>
      <w:b/>
      <w:bCs/>
      <w:sz w:val="32"/>
      <w:szCs w:val="32"/>
    </w:rPr>
  </w:style>
  <w:style w:type="paragraph" w:styleId="4">
    <w:name w:val="heading 3"/>
    <w:basedOn w:val="1"/>
    <w:next w:val="1"/>
    <w:link w:val="27"/>
    <w:qFormat/>
    <w:uiPriority w:val="0"/>
    <w:pPr>
      <w:keepNext/>
      <w:spacing w:line="460" w:lineRule="exact"/>
      <w:outlineLvl w:val="2"/>
    </w:pPr>
    <w:rPr>
      <w:rFonts w:ascii="宋体" w:hAnsi="宋体"/>
      <w:b/>
      <w:bCs/>
      <w:sz w:val="3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ind w:firstLine="420"/>
    </w:pPr>
    <w:rPr>
      <w:rFonts w:cs="楷体_GB2312"/>
      <w:szCs w:val="20"/>
    </w:rPr>
  </w:style>
  <w:style w:type="paragraph" w:styleId="7">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8">
    <w:name w:val="annotation text"/>
    <w:basedOn w:val="1"/>
    <w:next w:val="9"/>
    <w:qFormat/>
    <w:uiPriority w:val="0"/>
  </w:style>
  <w:style w:type="paragraph" w:styleId="9">
    <w:name w:val="toc 5"/>
    <w:basedOn w:val="1"/>
    <w:next w:val="1"/>
    <w:unhideWhenUsed/>
    <w:qFormat/>
    <w:uiPriority w:val="0"/>
    <w:pPr>
      <w:ind w:left="840"/>
      <w:jc w:val="left"/>
    </w:pPr>
    <w:rPr>
      <w:rFonts w:hint="default" w:ascii="Times New Roman" w:hAnsi="Times New Roman"/>
      <w:sz w:val="21"/>
      <w:szCs w:val="21"/>
    </w:rPr>
  </w:style>
  <w:style w:type="paragraph" w:styleId="10">
    <w:name w:val="Body Text"/>
    <w:basedOn w:val="1"/>
    <w:next w:val="1"/>
    <w:link w:val="28"/>
    <w:unhideWhenUsed/>
    <w:qFormat/>
    <w:uiPriority w:val="99"/>
    <w:pPr>
      <w:spacing w:after="120"/>
    </w:pPr>
  </w:style>
  <w:style w:type="paragraph" w:styleId="11">
    <w:name w:val="Body Text Indent"/>
    <w:basedOn w:val="1"/>
    <w:unhideWhenUsed/>
    <w:qFormat/>
    <w:uiPriority w:val="99"/>
    <w:pPr>
      <w:spacing w:after="120"/>
      <w:ind w:left="420" w:leftChars="200"/>
    </w:pPr>
  </w:style>
  <w:style w:type="paragraph" w:styleId="12">
    <w:name w:val="Plain Text"/>
    <w:basedOn w:val="1"/>
    <w:qFormat/>
    <w:uiPriority w:val="0"/>
    <w:rPr>
      <w:rFonts w:ascii="宋体" w:hAnsi="Courier New" w:cs="Courier New"/>
      <w:sz w:val="28"/>
      <w:szCs w:val="21"/>
    </w:rPr>
  </w:style>
  <w:style w:type="paragraph" w:styleId="13">
    <w:name w:val="Balloon Text"/>
    <w:basedOn w:val="1"/>
    <w:link w:val="29"/>
    <w:unhideWhenUsed/>
    <w:qFormat/>
    <w:uiPriority w:val="99"/>
    <w:pPr>
      <w:spacing w:line="240" w:lineRule="auto"/>
    </w:pPr>
    <w:rPr>
      <w:kern w:val="0"/>
      <w:sz w:val="18"/>
      <w:szCs w:val="18"/>
    </w:rPr>
  </w:style>
  <w:style w:type="paragraph" w:styleId="14">
    <w:name w:val="footer"/>
    <w:basedOn w:val="1"/>
    <w:link w:val="30"/>
    <w:unhideWhenUsed/>
    <w:qFormat/>
    <w:uiPriority w:val="0"/>
    <w:pPr>
      <w:tabs>
        <w:tab w:val="center" w:pos="4153"/>
        <w:tab w:val="right" w:pos="8306"/>
      </w:tabs>
      <w:snapToGrid w:val="0"/>
      <w:jc w:val="left"/>
    </w:pPr>
    <w:rPr>
      <w:kern w:val="0"/>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index heading"/>
    <w:basedOn w:val="1"/>
    <w:next w:val="17"/>
    <w:qFormat/>
    <w:uiPriority w:val="0"/>
    <w:pPr>
      <w:tabs>
        <w:tab w:val="decimal" w:pos="315"/>
        <w:tab w:val="left" w:pos="630"/>
      </w:tabs>
    </w:pPr>
    <w:rPr>
      <w:rFonts w:ascii="Times New Roman" w:hAnsi="Times New Roman"/>
      <w:szCs w:val="20"/>
    </w:rPr>
  </w:style>
  <w:style w:type="paragraph" w:styleId="17">
    <w:name w:val="index 1"/>
    <w:basedOn w:val="1"/>
    <w:next w:val="1"/>
    <w:qFormat/>
    <w:uiPriority w:val="0"/>
    <w:pPr>
      <w:tabs>
        <w:tab w:val="decimal" w:pos="315"/>
        <w:tab w:val="left" w:pos="630"/>
      </w:tabs>
    </w:pPr>
  </w:style>
  <w:style w:type="paragraph" w:styleId="18">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9">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20">
    <w:name w:val="Body Text First Indent"/>
    <w:basedOn w:val="1"/>
    <w:link w:val="33"/>
    <w:qFormat/>
    <w:uiPriority w:val="0"/>
    <w:pPr>
      <w:widowControl/>
      <w:spacing w:before="100" w:beforeAutospacing="1" w:after="100" w:afterAutospacing="1" w:line="360" w:lineRule="auto"/>
      <w:jc w:val="left"/>
    </w:pPr>
    <w:rPr>
      <w:rFonts w:ascii="宋体" w:hAnsi="宋体" w:eastAsia="华文新魏"/>
      <w:sz w:val="24"/>
    </w:rPr>
  </w:style>
  <w:style w:type="paragraph" w:styleId="21">
    <w:name w:val="Body Text First Indent 2"/>
    <w:basedOn w:val="11"/>
    <w:unhideWhenUsed/>
    <w:qFormat/>
    <w:uiPriority w:val="99"/>
    <w:pPr>
      <w:spacing w:after="0" w:line="360" w:lineRule="auto"/>
      <w:ind w:left="0" w:leftChars="0"/>
      <w:jc w:val="both"/>
    </w:pPr>
  </w:style>
  <w:style w:type="table" w:styleId="23">
    <w:name w:val="Table Grid"/>
    <w:basedOn w:val="22"/>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Hyperlink"/>
    <w:unhideWhenUsed/>
    <w:qFormat/>
    <w:uiPriority w:val="99"/>
    <w:rPr>
      <w:color w:val="313346"/>
      <w:u w:val="none"/>
    </w:rPr>
  </w:style>
  <w:style w:type="character" w:customStyle="1" w:styleId="27">
    <w:name w:val="标题 3 字符"/>
    <w:link w:val="4"/>
    <w:qFormat/>
    <w:uiPriority w:val="0"/>
    <w:rPr>
      <w:rFonts w:ascii="宋体" w:hAnsi="宋体"/>
      <w:b/>
      <w:bCs/>
      <w:kern w:val="2"/>
      <w:sz w:val="30"/>
      <w:szCs w:val="24"/>
    </w:rPr>
  </w:style>
  <w:style w:type="character" w:customStyle="1" w:styleId="28">
    <w:name w:val="正文文本 字符"/>
    <w:link w:val="10"/>
    <w:semiHidden/>
    <w:qFormat/>
    <w:uiPriority w:val="99"/>
    <w:rPr>
      <w:kern w:val="2"/>
      <w:sz w:val="21"/>
      <w:szCs w:val="24"/>
    </w:rPr>
  </w:style>
  <w:style w:type="character" w:customStyle="1" w:styleId="29">
    <w:name w:val="批注框文本 字符"/>
    <w:link w:val="13"/>
    <w:semiHidden/>
    <w:qFormat/>
    <w:uiPriority w:val="99"/>
    <w:rPr>
      <w:sz w:val="18"/>
      <w:szCs w:val="18"/>
    </w:rPr>
  </w:style>
  <w:style w:type="character" w:customStyle="1" w:styleId="30">
    <w:name w:val="页脚 字符"/>
    <w:link w:val="14"/>
    <w:qFormat/>
    <w:uiPriority w:val="0"/>
    <w:rPr>
      <w:sz w:val="18"/>
      <w:szCs w:val="18"/>
    </w:rPr>
  </w:style>
  <w:style w:type="character" w:customStyle="1" w:styleId="31">
    <w:name w:val="页眉 字符"/>
    <w:link w:val="15"/>
    <w:qFormat/>
    <w:uiPriority w:val="99"/>
    <w:rPr>
      <w:sz w:val="18"/>
      <w:szCs w:val="18"/>
    </w:rPr>
  </w:style>
  <w:style w:type="character" w:customStyle="1" w:styleId="32">
    <w:name w:val="HTML 预设格式 字符"/>
    <w:link w:val="18"/>
    <w:qFormat/>
    <w:uiPriority w:val="99"/>
    <w:rPr>
      <w:rFonts w:ascii="宋体" w:hAnsi="宋体" w:cs="宋体"/>
      <w:sz w:val="24"/>
      <w:szCs w:val="24"/>
    </w:rPr>
  </w:style>
  <w:style w:type="character" w:customStyle="1" w:styleId="33">
    <w:name w:val="正文文本首行缩进 字符"/>
    <w:link w:val="20"/>
    <w:qFormat/>
    <w:uiPriority w:val="0"/>
    <w:rPr>
      <w:rFonts w:ascii="宋体" w:hAnsi="宋体" w:eastAsia="华文新魏"/>
      <w:kern w:val="2"/>
      <w:sz w:val="24"/>
      <w:szCs w:val="24"/>
    </w:rPr>
  </w:style>
  <w:style w:type="character" w:customStyle="1" w:styleId="34">
    <w:name w:val="style91"/>
    <w:qFormat/>
    <w:uiPriority w:val="0"/>
    <w:rPr>
      <w:color w:val="000000"/>
    </w:rPr>
  </w:style>
  <w:style w:type="paragraph" w:customStyle="1" w:styleId="35">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6">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7">
    <w:name w:val="B"/>
    <w:basedOn w:val="10"/>
    <w:qFormat/>
    <w:uiPriority w:val="1"/>
    <w:pPr>
      <w:ind w:left="0" w:firstLine="480" w:firstLineChars="200"/>
    </w:pPr>
    <w:rPr>
      <w:sz w:val="24"/>
      <w:szCs w:val="24"/>
      <w:lang w:eastAsia="zh-CN"/>
    </w:rPr>
  </w:style>
  <w:style w:type="paragraph" w:customStyle="1" w:styleId="38">
    <w:name w:val="null3"/>
    <w:qFormat/>
    <w:uiPriority w:val="0"/>
    <w:rPr>
      <w:rFonts w:hint="eastAsia" w:ascii="Calibri" w:hAnsi="Calibri" w:eastAsia="宋体" w:cs="Times New Roman"/>
      <w:lang w:val="en-US" w:eastAsia="zh-Hans" w:bidi="ar-SA"/>
    </w:rPr>
  </w:style>
  <w:style w:type="paragraph" w:styleId="39">
    <w:name w:val="List Paragraph"/>
    <w:basedOn w:val="1"/>
    <w:qFormat/>
    <w:uiPriority w:val="34"/>
    <w:pPr>
      <w:spacing w:line="240" w:lineRule="auto"/>
      <w:ind w:firstLine="420" w:firstLineChars="200"/>
    </w:pPr>
    <w:rPr>
      <w:szCs w:val="22"/>
    </w:rPr>
  </w:style>
  <w:style w:type="paragraph" w:customStyle="1" w:styleId="40">
    <w:name w:val="题注5"/>
    <w:basedOn w:val="1"/>
    <w:next w:val="7"/>
    <w:qFormat/>
    <w:uiPriority w:val="0"/>
    <w:pPr>
      <w:tabs>
        <w:tab w:val="decimal" w:pos="315"/>
        <w:tab w:val="left" w:pos="630"/>
      </w:tabs>
      <w:jc w:val="center"/>
    </w:pPr>
    <w:rPr>
      <w:rFonts w:ascii="Times New Roman" w:hAnsi="Times New Roman"/>
      <w:b/>
      <w:color w:val="000000"/>
      <w:sz w:val="24"/>
      <w:szCs w:val="21"/>
    </w:rPr>
  </w:style>
  <w:style w:type="paragraph" w:customStyle="1" w:styleId="41">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表格文字"/>
    <w:basedOn w:val="1"/>
    <w:next w:val="10"/>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3">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4">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5">
    <w:name w:val="Table Paragraph"/>
    <w:basedOn w:val="1"/>
    <w:next w:val="1"/>
    <w:qFormat/>
    <w:uiPriority w:val="0"/>
    <w:pPr>
      <w:spacing w:line="360" w:lineRule="auto"/>
    </w:pPr>
  </w:style>
  <w:style w:type="paragraph" w:customStyle="1" w:styleId="46">
    <w:name w:val="Table Text"/>
    <w:basedOn w:val="1"/>
    <w:semiHidden/>
    <w:qFormat/>
    <w:uiPriority w:val="0"/>
    <w:rPr>
      <w:rFonts w:ascii="宋体" w:hAnsi="宋体" w:eastAsia="宋体" w:cs="宋体"/>
      <w:sz w:val="24"/>
      <w:szCs w:val="24"/>
      <w:lang w:val="en-US" w:eastAsia="en-US" w:bidi="ar-SA"/>
    </w:rPr>
  </w:style>
  <w:style w:type="table" w:customStyle="1" w:styleId="47">
    <w:name w:val="Table Normal"/>
    <w:unhideWhenUsed/>
    <w:qFormat/>
    <w:uiPriority w:val="2"/>
    <w:tblPr>
      <w:tblCellMar>
        <w:top w:w="0" w:type="dxa"/>
        <w:left w:w="0" w:type="dxa"/>
        <w:bottom w:w="0" w:type="dxa"/>
        <w:right w:w="0" w:type="dxa"/>
      </w:tblCellMar>
    </w:tblPr>
  </w:style>
  <w:style w:type="character" w:customStyle="1" w:styleId="48">
    <w:name w:val="NormalCharacter"/>
    <w:link w:val="49"/>
    <w:qFormat/>
    <w:uiPriority w:val="0"/>
    <w:rPr>
      <w:rFonts w:ascii="Times New Roman" w:hAnsi="Times New Roman" w:eastAsia="宋体" w:cs="Times New Roman"/>
      <w:kern w:val="0"/>
      <w:sz w:val="20"/>
      <w:szCs w:val="20"/>
    </w:rPr>
  </w:style>
  <w:style w:type="paragraph" w:customStyle="1" w:styleId="49">
    <w:name w:val="UserStyle_3"/>
    <w:basedOn w:val="1"/>
    <w:link w:val="48"/>
    <w:qFormat/>
    <w:uiPriority w:val="0"/>
    <w:pPr>
      <w:spacing w:after="160" w:line="240" w:lineRule="exact"/>
      <w:jc w:val="left"/>
    </w:pPr>
    <w:rPr>
      <w:rFonts w:ascii="Times New Roman" w:hAnsi="Times New Roman" w:eastAsia="宋体" w:cs="Times New Roman"/>
      <w:kern w:val="0"/>
      <w:sz w:val="20"/>
      <w:szCs w:val="20"/>
    </w:rPr>
  </w:style>
  <w:style w:type="paragraph" w:customStyle="1" w:styleId="50">
    <w:name w:val="Heading3"/>
    <w:basedOn w:val="1"/>
    <w:next w:val="1"/>
    <w:qFormat/>
    <w:uiPriority w:val="0"/>
    <w:pPr>
      <w:keepNext/>
      <w:spacing w:before="240" w:after="60"/>
      <w:jc w:val="left"/>
    </w:pPr>
    <w:rPr>
      <w:rFonts w:ascii="Cambria" w:hAnsi="Cambria" w:cs="Times New Roman"/>
      <w:b/>
      <w:bCs/>
      <w:kern w:val="0"/>
      <w:sz w:val="26"/>
      <w:szCs w:val="26"/>
    </w:rPr>
  </w:style>
  <w:style w:type="paragraph" w:customStyle="1" w:styleId="51">
    <w:name w:val="样式 首行缩进:  2 字符"/>
    <w:basedOn w:val="1"/>
    <w:qFormat/>
    <w:uiPriority w:val="0"/>
    <w:pPr>
      <w:ind w:firstLine="560"/>
    </w:pPr>
    <w:rPr>
      <w:rFonts w:eastAsia="仿宋_GB2312" w:cs="宋体"/>
      <w:sz w:val="24"/>
      <w:szCs w:val="20"/>
    </w:rPr>
  </w:style>
  <w:style w:type="paragraph" w:customStyle="1" w:styleId="52">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53">
    <w:name w:val="font41"/>
    <w:basedOn w:val="24"/>
    <w:unhideWhenUsed/>
    <w:qFormat/>
    <w:uiPriority w:val="0"/>
    <w:rPr>
      <w:rFonts w:hint="default"/>
      <w:color w:val="000000"/>
      <w:sz w:val="18"/>
      <w:szCs w:val="24"/>
    </w:rPr>
  </w:style>
  <w:style w:type="character" w:customStyle="1" w:styleId="54">
    <w:name w:val="font71"/>
    <w:basedOn w:val="24"/>
    <w:unhideWhenUsed/>
    <w:qFormat/>
    <w:uiPriority w:val="0"/>
    <w:rPr>
      <w:rFonts w:hint="eastAsia" w:ascii="宋体" w:hAnsi="宋体" w:eastAsia="宋体" w:cs="宋体"/>
      <w:b/>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2147</Words>
  <Characters>2179</Characters>
  <Lines>102</Lines>
  <Paragraphs>28</Paragraphs>
  <TotalTime>2</TotalTime>
  <ScaleCrop>false</ScaleCrop>
  <LinksUpToDate>false</LinksUpToDate>
  <CharactersWithSpaces>2192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2026-06-10T02:43:45Z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D310E1F84A774B1DA3E1B39D951B01D1_13</vt:lpwstr>
  </property>
  <property fmtid="{D5CDD505-2E9C-101B-9397-08002B2CF9AE}" pid="4" name="KSOTemplateDocerSaveRecord">
    <vt:lpwstr>eyJoZGlkIjoiMzU1NDExYjZhN2I2NjM1MGU3OTY1OTUyYTRmNjU3NTMiLCJ1c2VySWQiOiI0MjE4NTY3MjkifQ==</vt:lpwstr>
  </property>
</Properties>
</file>