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w:t>
      </w:r>
      <w:r>
        <w:rPr>
          <w:rFonts w:hint="eastAsia" w:ascii="微软雅黑" w:hAnsi="微软雅黑" w:eastAsia="微软雅黑" w:cs="微软雅黑"/>
          <w:b/>
          <w:sz w:val="52"/>
          <w:szCs w:val="52"/>
          <w:highlight w:val="none"/>
          <w:lang w:val="en-US" w:eastAsia="zh-CN"/>
        </w:rPr>
        <w:t>遴选</w:t>
      </w:r>
      <w:r>
        <w:rPr>
          <w:rFonts w:hint="eastAsia" w:ascii="微软雅黑" w:hAnsi="微软雅黑" w:eastAsia="微软雅黑" w:cs="微软雅黑"/>
          <w:b/>
          <w:sz w:val="52"/>
          <w:szCs w:val="52"/>
          <w:highlight w:val="none"/>
        </w:rPr>
        <w:t>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val="en-US"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w:t>
      </w:r>
      <w:r>
        <w:rPr>
          <w:rFonts w:hint="eastAsia" w:ascii="宋体" w:hAnsi="宋体"/>
          <w:b/>
          <w:bCs/>
          <w:sz w:val="36"/>
          <w:szCs w:val="36"/>
          <w:highlight w:val="none"/>
          <w:lang w:val="en-US" w:eastAsia="zh-CN"/>
        </w:rPr>
        <w:t>-LX</w:t>
      </w:r>
      <w:r>
        <w:rPr>
          <w:rFonts w:hint="eastAsia" w:ascii="宋体" w:hAnsi="宋体"/>
          <w:b/>
          <w:bCs/>
          <w:sz w:val="36"/>
          <w:szCs w:val="36"/>
          <w:highlight w:val="none"/>
        </w:rPr>
        <w:t>00</w:t>
      </w:r>
      <w:r>
        <w:rPr>
          <w:rFonts w:hint="eastAsia" w:ascii="宋体" w:hAnsi="宋体"/>
          <w:b/>
          <w:bCs/>
          <w:sz w:val="36"/>
          <w:szCs w:val="36"/>
          <w:highlight w:val="none"/>
          <w:lang w:val="en-US" w:eastAsia="zh-CN"/>
        </w:rPr>
        <w:t>3</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default" w:ascii="宋体" w:hAnsi="宋体" w:eastAsia="宋体"/>
          <w:b/>
          <w:bCs/>
          <w:sz w:val="36"/>
          <w:szCs w:val="36"/>
          <w:highlight w:val="none"/>
          <w:lang w:val="en-US" w:eastAsia="zh-CN"/>
        </w:rPr>
      </w:pPr>
      <w:r>
        <w:rPr>
          <w:rFonts w:hint="eastAsia" w:ascii="宋体" w:hAnsi="宋体"/>
          <w:b/>
          <w:bCs/>
          <w:sz w:val="36"/>
          <w:szCs w:val="36"/>
          <w:highlight w:val="none"/>
          <w:lang w:val="en-US" w:eastAsia="zh-CN"/>
        </w:rPr>
        <w:t>遴选</w:t>
      </w:r>
      <w:r>
        <w:rPr>
          <w:rFonts w:hint="eastAsia" w:ascii="宋体" w:hAnsi="宋体"/>
          <w:b/>
          <w:bCs/>
          <w:sz w:val="36"/>
          <w:szCs w:val="36"/>
          <w:highlight w:val="none"/>
        </w:rPr>
        <w:t>项目名称：</w:t>
      </w:r>
      <w:r>
        <w:rPr>
          <w:rFonts w:hint="eastAsia" w:ascii="宋体" w:hAnsi="宋体"/>
          <w:b/>
          <w:bCs/>
          <w:sz w:val="36"/>
          <w:szCs w:val="36"/>
          <w:highlight w:val="none"/>
          <w:lang w:eastAsia="zh-CN"/>
        </w:rPr>
        <w:t>中山市中医院全自动化学发光分析仪项目</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default"/>
          <w:highlight w:val="none"/>
          <w:lang w:val="en-US"/>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7</w:t>
      </w:r>
      <w:r>
        <w:rPr>
          <w:rFonts w:hint="eastAsia" w:ascii="宋体" w:hAnsi="宋体"/>
          <w:sz w:val="30"/>
          <w:szCs w:val="30"/>
          <w:highlight w:val="none"/>
        </w:rPr>
        <w:t>月</w:t>
      </w:r>
      <w:r>
        <w:rPr>
          <w:rFonts w:hint="eastAsia" w:ascii="宋体" w:hAnsi="宋体"/>
          <w:sz w:val="30"/>
          <w:szCs w:val="30"/>
          <w:highlight w:val="none"/>
          <w:lang w:val="en-US" w:eastAsia="zh-CN"/>
        </w:rPr>
        <w:t>17日</w:t>
      </w: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w:t>
      </w:r>
      <w:r>
        <w:rPr>
          <w:rFonts w:hint="eastAsia" w:ascii="宋体" w:hAnsi="宋体"/>
          <w:b/>
          <w:sz w:val="44"/>
          <w:szCs w:val="44"/>
          <w:highlight w:val="none"/>
          <w:lang w:val="en-US" w:eastAsia="zh-CN"/>
        </w:rPr>
        <w:t>遴选</w:t>
      </w:r>
      <w:r>
        <w:rPr>
          <w:rFonts w:hint="eastAsia" w:ascii="宋体" w:hAnsi="宋体"/>
          <w:b/>
          <w:sz w:val="44"/>
          <w:szCs w:val="44"/>
          <w:highlight w:val="none"/>
        </w:rPr>
        <w:t>文件目录</w:t>
      </w:r>
    </w:p>
    <w:p w14:paraId="6931885C">
      <w:pPr>
        <w:pStyle w:val="2"/>
        <w:rPr>
          <w:rFonts w:hint="eastAsia"/>
          <w:highlight w:val="none"/>
        </w:rPr>
      </w:pPr>
    </w:p>
    <w:p w14:paraId="4D7D3D45">
      <w:pPr>
        <w:spacing w:line="360" w:lineRule="auto"/>
        <w:rPr>
          <w:rFonts w:hint="eastAsia" w:ascii="宋体" w:hAnsi="宋体"/>
          <w:b/>
          <w:sz w:val="28"/>
          <w:szCs w:val="28"/>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lang w:val="en-US" w:eastAsia="zh-CN"/>
        </w:rPr>
        <w:t>遴选</w:t>
      </w:r>
      <w:r>
        <w:rPr>
          <w:rFonts w:hint="eastAsia" w:ascii="宋体" w:hAnsi="宋体"/>
          <w:b/>
          <w:sz w:val="28"/>
          <w:szCs w:val="28"/>
          <w:highlight w:val="none"/>
        </w:rPr>
        <w:t>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lang w:val="en-US" w:eastAsia="zh-CN"/>
        </w:rPr>
        <w:t>技术</w:t>
      </w:r>
      <w:r>
        <w:rPr>
          <w:rFonts w:hint="eastAsia" w:ascii="宋体" w:hAnsi="宋体"/>
          <w:b/>
          <w:sz w:val="28"/>
          <w:szCs w:val="28"/>
          <w:highlight w:val="none"/>
        </w:rPr>
        <w:t>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：商务条款响应表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w:t>
      </w:r>
      <w:r>
        <w:rPr>
          <w:rFonts w:hint="eastAsia" w:ascii="宋体" w:hAnsi="宋体" w:cs="Times New Roman"/>
          <w:b/>
          <w:sz w:val="28"/>
          <w:szCs w:val="28"/>
          <w:highlight w:val="none"/>
          <w:lang w:val="en-US" w:eastAsia="zh-CN"/>
        </w:rPr>
        <w:t>九</w:t>
      </w:r>
      <w:r>
        <w:rPr>
          <w:rFonts w:hint="eastAsia" w:ascii="宋体" w:hAnsi="宋体" w:eastAsia="宋体" w:cs="Times New Roman"/>
          <w:b/>
          <w:sz w:val="28"/>
          <w:szCs w:val="28"/>
          <w:highlight w:val="none"/>
        </w:rPr>
        <w:t>：业绩情况一览表</w:t>
      </w:r>
    </w:p>
    <w:p w14:paraId="0B984271">
      <w:pPr>
        <w:pStyle w:val="9"/>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1"/>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1"/>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1"/>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管理关系的不同供应商，不得同时参加本遴选项目（或采购包）响应。为本项目提供整体设计、规范编制或者项目管理、监理、检测等服务的供应商，不得再参与本项目响应。按</w:t>
      </w:r>
      <w:r>
        <w:rPr>
          <w:rFonts w:hint="eastAsia" w:cs="Tahoma"/>
          <w:color w:val="000000"/>
          <w:kern w:val="28"/>
          <w:szCs w:val="24"/>
          <w:highlight w:val="none"/>
          <w:lang w:val="en-US" w:eastAsia="zh-CN"/>
        </w:rPr>
        <w:t>遴选文件</w:t>
      </w:r>
      <w:r>
        <w:rPr>
          <w:rFonts w:hint="eastAsia" w:cs="Tahoma"/>
          <w:color w:val="000000"/>
          <w:kern w:val="28"/>
          <w:szCs w:val="24"/>
          <w:highlight w:val="none"/>
          <w:lang w:eastAsia="zh-CN"/>
        </w:rPr>
        <w:t>要求提供《无串通响应等违法违规行为承诺书》</w:t>
      </w:r>
    </w:p>
    <w:p w14:paraId="1CDFF319">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1"/>
        <w:spacing w:line="360" w:lineRule="auto"/>
        <w:ind w:firstLine="480" w:firstLineChars="200"/>
        <w:rPr>
          <w:rFonts w:hint="eastAsia" w:ascii="Times New Roman" w:hAnsi="Times New Roman" w:cs="Tahoma"/>
          <w:color w:val="000000"/>
          <w:kern w:val="28"/>
          <w:szCs w:val="24"/>
          <w:highlight w:val="none"/>
        </w:rPr>
      </w:pPr>
    </w:p>
    <w:p w14:paraId="387AA35D">
      <w:pPr>
        <w:pStyle w:val="41"/>
        <w:spacing w:line="360" w:lineRule="auto"/>
        <w:ind w:firstLine="480" w:firstLineChars="200"/>
        <w:rPr>
          <w:rFonts w:hint="eastAsia" w:ascii="Times New Roman" w:hAnsi="Times New Roman" w:cs="Tahoma"/>
          <w:color w:val="000000"/>
          <w:kern w:val="28"/>
          <w:szCs w:val="24"/>
          <w:highlight w:val="none"/>
        </w:rPr>
      </w:pPr>
    </w:p>
    <w:p w14:paraId="344183BF">
      <w:pPr>
        <w:pStyle w:val="41"/>
        <w:spacing w:line="360" w:lineRule="auto"/>
        <w:ind w:firstLine="480" w:firstLineChars="200"/>
        <w:rPr>
          <w:rFonts w:hint="eastAsia" w:ascii="Times New Roman" w:hAnsi="Times New Roman" w:cs="Tahoma"/>
          <w:color w:val="000000"/>
          <w:kern w:val="28"/>
          <w:szCs w:val="24"/>
          <w:highlight w:val="none"/>
        </w:rPr>
      </w:pPr>
    </w:p>
    <w:p w14:paraId="7111C1AA">
      <w:pPr>
        <w:pStyle w:val="41"/>
        <w:spacing w:line="360" w:lineRule="auto"/>
        <w:ind w:firstLine="480" w:firstLineChars="200"/>
        <w:rPr>
          <w:rFonts w:hint="eastAsia" w:ascii="Times New Roman" w:hAnsi="Times New Roman" w:cs="Tahoma"/>
          <w:color w:val="000000"/>
          <w:kern w:val="28"/>
          <w:szCs w:val="24"/>
          <w:highlight w:val="none"/>
        </w:rPr>
      </w:pPr>
    </w:p>
    <w:p w14:paraId="4DAE84A6">
      <w:pPr>
        <w:pStyle w:val="41"/>
        <w:spacing w:line="360" w:lineRule="auto"/>
        <w:ind w:firstLine="480" w:firstLineChars="200"/>
        <w:rPr>
          <w:rFonts w:hint="eastAsia" w:ascii="Times New Roman" w:hAnsi="Times New Roman" w:cs="Tahoma"/>
          <w:color w:val="000000"/>
          <w:kern w:val="28"/>
          <w:szCs w:val="24"/>
          <w:highlight w:val="none"/>
        </w:rPr>
      </w:pPr>
    </w:p>
    <w:p w14:paraId="4D604AD8">
      <w:pPr>
        <w:pStyle w:val="41"/>
        <w:spacing w:line="360" w:lineRule="auto"/>
        <w:ind w:firstLine="480" w:firstLineChars="200"/>
        <w:rPr>
          <w:rFonts w:hint="eastAsia" w:ascii="Times New Roman" w:hAnsi="Times New Roman" w:cs="Tahoma"/>
          <w:color w:val="000000"/>
          <w:kern w:val="28"/>
          <w:szCs w:val="24"/>
          <w:highlight w:val="none"/>
        </w:rPr>
      </w:pPr>
    </w:p>
    <w:p w14:paraId="01624FDA">
      <w:pPr>
        <w:pStyle w:val="41"/>
        <w:spacing w:line="360" w:lineRule="auto"/>
        <w:ind w:firstLine="480" w:firstLineChars="200"/>
        <w:rPr>
          <w:rFonts w:hint="eastAsia" w:ascii="Times New Roman" w:hAnsi="Times New Roman" w:cs="Tahoma"/>
          <w:color w:val="000000"/>
          <w:kern w:val="28"/>
          <w:szCs w:val="24"/>
          <w:highlight w:val="none"/>
        </w:rPr>
      </w:pPr>
    </w:p>
    <w:p w14:paraId="28F28E2B">
      <w:pPr>
        <w:pStyle w:val="41"/>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20"/>
        <w:tblW w:w="10615" w:type="dxa"/>
        <w:tblInd w:w="-8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50"/>
        <w:gridCol w:w="2250"/>
        <w:gridCol w:w="7415"/>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950" w:type="dxa"/>
            <w:noWrap w:val="0"/>
            <w:vAlign w:val="center"/>
          </w:tcPr>
          <w:p w14:paraId="340B4EE5">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9665" w:type="dxa"/>
            <w:gridSpan w:val="2"/>
            <w:noWrap w:val="0"/>
            <w:vAlign w:val="center"/>
          </w:tcPr>
          <w:p w14:paraId="0C0586F4">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950" w:type="dxa"/>
            <w:noWrap w:val="0"/>
            <w:vAlign w:val="center"/>
          </w:tcPr>
          <w:p w14:paraId="58EDA0B6">
            <w:pPr>
              <w:pStyle w:val="43"/>
              <w:numPr>
                <w:ilvl w:val="0"/>
                <w:numId w:val="1"/>
              </w:numPr>
              <w:jc w:val="center"/>
              <w:rPr>
                <w:szCs w:val="21"/>
                <w:highlight w:val="none"/>
              </w:rPr>
            </w:pPr>
          </w:p>
        </w:tc>
        <w:tc>
          <w:tcPr>
            <w:tcW w:w="2250" w:type="dxa"/>
            <w:noWrap w:val="0"/>
            <w:vAlign w:val="center"/>
          </w:tcPr>
          <w:p w14:paraId="1D92F54D">
            <w:pPr>
              <w:pStyle w:val="43"/>
              <w:spacing w:line="400" w:lineRule="exact"/>
              <w:ind w:left="102" w:right="206"/>
              <w:jc w:val="center"/>
              <w:rPr>
                <w:szCs w:val="21"/>
                <w:highlight w:val="none"/>
              </w:rPr>
            </w:pPr>
            <w:r>
              <w:rPr>
                <w:rFonts w:hint="eastAsia"/>
                <w:szCs w:val="21"/>
                <w:highlight w:val="none"/>
              </w:rPr>
              <w:t>具有独立承担民事责任的能力</w:t>
            </w:r>
          </w:p>
        </w:tc>
        <w:tc>
          <w:tcPr>
            <w:tcW w:w="7415" w:type="dxa"/>
            <w:noWrap w:val="0"/>
            <w:vAlign w:val="center"/>
          </w:tcPr>
          <w:p w14:paraId="1151C5D1">
            <w:pPr>
              <w:pStyle w:val="43"/>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950" w:type="dxa"/>
            <w:noWrap w:val="0"/>
            <w:vAlign w:val="center"/>
          </w:tcPr>
          <w:p w14:paraId="04B463EB">
            <w:pPr>
              <w:pStyle w:val="43"/>
              <w:numPr>
                <w:ilvl w:val="0"/>
                <w:numId w:val="1"/>
              </w:numPr>
              <w:jc w:val="center"/>
              <w:rPr>
                <w:szCs w:val="21"/>
                <w:highlight w:val="none"/>
              </w:rPr>
            </w:pPr>
          </w:p>
        </w:tc>
        <w:tc>
          <w:tcPr>
            <w:tcW w:w="2250" w:type="dxa"/>
            <w:noWrap w:val="0"/>
            <w:vAlign w:val="center"/>
          </w:tcPr>
          <w:p w14:paraId="458B77DB">
            <w:pPr>
              <w:pStyle w:val="43"/>
              <w:spacing w:line="400" w:lineRule="exact"/>
              <w:ind w:left="102"/>
              <w:jc w:val="center"/>
              <w:rPr>
                <w:szCs w:val="21"/>
                <w:highlight w:val="none"/>
              </w:rPr>
            </w:pPr>
            <w:r>
              <w:rPr>
                <w:rFonts w:hint="eastAsia"/>
                <w:szCs w:val="21"/>
                <w:highlight w:val="none"/>
              </w:rPr>
              <w:t>有依法缴纳税收和社会保障资金的良好记录</w:t>
            </w:r>
          </w:p>
        </w:tc>
        <w:tc>
          <w:tcPr>
            <w:tcW w:w="7415" w:type="dxa"/>
            <w:noWrap w:val="0"/>
            <w:vAlign w:val="center"/>
          </w:tcPr>
          <w:p w14:paraId="6E37C024">
            <w:pPr>
              <w:pStyle w:val="43"/>
              <w:spacing w:line="360" w:lineRule="exact"/>
              <w:ind w:left="102" w:right="96"/>
              <w:rPr>
                <w:rFonts w:hint="eastAsia"/>
                <w:bCs/>
                <w:szCs w:val="21"/>
                <w:highlight w:val="none"/>
              </w:rPr>
            </w:pPr>
            <w:r>
              <w:rPr>
                <w:rFonts w:hint="eastAsia"/>
                <w:bCs/>
                <w:szCs w:val="21"/>
                <w:highlight w:val="none"/>
              </w:rPr>
              <w:t>提供《供应商资格信用承诺函》，或提供响应截止日前12个月内任意1个月依法缴纳税收和社会保障资金的相关材料。若响应供应商同时提供资格信用承诺函和证明材料的，资格审查时以证明材料为准。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六</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950" w:type="dxa"/>
            <w:noWrap w:val="0"/>
            <w:vAlign w:val="center"/>
          </w:tcPr>
          <w:p w14:paraId="63EE65A4">
            <w:pPr>
              <w:pStyle w:val="43"/>
              <w:numPr>
                <w:ilvl w:val="0"/>
                <w:numId w:val="1"/>
              </w:numPr>
              <w:jc w:val="center"/>
              <w:rPr>
                <w:szCs w:val="21"/>
                <w:highlight w:val="none"/>
              </w:rPr>
            </w:pPr>
          </w:p>
        </w:tc>
        <w:tc>
          <w:tcPr>
            <w:tcW w:w="2250" w:type="dxa"/>
            <w:noWrap w:val="0"/>
            <w:vAlign w:val="center"/>
          </w:tcPr>
          <w:p w14:paraId="233D9FCB">
            <w:pPr>
              <w:pStyle w:val="43"/>
              <w:spacing w:line="400" w:lineRule="exact"/>
              <w:ind w:left="102" w:right="86"/>
              <w:jc w:val="center"/>
              <w:rPr>
                <w:szCs w:val="21"/>
                <w:highlight w:val="none"/>
              </w:rPr>
            </w:pPr>
            <w:r>
              <w:rPr>
                <w:rFonts w:hint="eastAsia"/>
                <w:szCs w:val="21"/>
                <w:highlight w:val="none"/>
              </w:rPr>
              <w:t>具有良好的商业信誉和健全的财务会计制度</w:t>
            </w:r>
          </w:p>
        </w:tc>
        <w:tc>
          <w:tcPr>
            <w:tcW w:w="7415" w:type="dxa"/>
            <w:noWrap w:val="0"/>
            <w:vAlign w:val="center"/>
          </w:tcPr>
          <w:p w14:paraId="594CF854">
            <w:pPr>
              <w:pStyle w:val="43"/>
              <w:spacing w:line="360" w:lineRule="exact"/>
              <w:ind w:right="96"/>
              <w:rPr>
                <w:rFonts w:hint="eastAsia" w:eastAsia="宋体"/>
                <w:bCs/>
                <w:szCs w:val="21"/>
                <w:highlight w:val="none"/>
                <w:lang w:eastAsia="zh-CN"/>
              </w:rPr>
            </w:pPr>
            <w:r>
              <w:rPr>
                <w:rFonts w:hint="eastAsia"/>
                <w:bCs/>
                <w:szCs w:val="21"/>
                <w:highlight w:val="none"/>
              </w:rPr>
              <w:t>提供《供应商资格信用承诺函》，或提供响应截止日前3年内任意1年度的财务报告或基本开户银行出具的资信证明。若响应供应商同时提供资格信用承诺函和证明材料的，资格审查时以证明材料为准。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六</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950" w:type="dxa"/>
            <w:noWrap w:val="0"/>
            <w:vAlign w:val="center"/>
          </w:tcPr>
          <w:p w14:paraId="346831C9">
            <w:pPr>
              <w:pStyle w:val="43"/>
              <w:numPr>
                <w:ilvl w:val="0"/>
                <w:numId w:val="1"/>
              </w:numPr>
              <w:jc w:val="center"/>
              <w:rPr>
                <w:szCs w:val="21"/>
                <w:highlight w:val="none"/>
              </w:rPr>
            </w:pPr>
          </w:p>
        </w:tc>
        <w:tc>
          <w:tcPr>
            <w:tcW w:w="2250" w:type="dxa"/>
            <w:noWrap w:val="0"/>
            <w:vAlign w:val="center"/>
          </w:tcPr>
          <w:p w14:paraId="10195A43">
            <w:pPr>
              <w:pStyle w:val="43"/>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7415"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单位负责人为同一人或者存在直接控股、管理关系的不同供应商，不得同时参加本</w:t>
            </w:r>
            <w:r>
              <w:rPr>
                <w:rFonts w:hint="eastAsia"/>
                <w:bCs/>
                <w:szCs w:val="21"/>
                <w:highlight w:val="none"/>
                <w:lang w:eastAsia="zh-CN"/>
              </w:rPr>
              <w:t>遴选项目</w:t>
            </w:r>
            <w:r>
              <w:rPr>
                <w:rFonts w:hint="eastAsia"/>
                <w:bCs/>
                <w:szCs w:val="21"/>
                <w:highlight w:val="none"/>
              </w:rPr>
              <w:t>（或采购包）响应。为本项目提供整体设计、规范编制或者项目管理、监理、检测等服务的供应商，不得再参与本项目响应。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七</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950" w:type="dxa"/>
            <w:noWrap w:val="0"/>
            <w:vAlign w:val="center"/>
          </w:tcPr>
          <w:p w14:paraId="75F469B2">
            <w:pPr>
              <w:pStyle w:val="43"/>
              <w:numPr>
                <w:ilvl w:val="0"/>
                <w:numId w:val="1"/>
              </w:numPr>
              <w:jc w:val="center"/>
              <w:rPr>
                <w:szCs w:val="21"/>
                <w:highlight w:val="none"/>
              </w:rPr>
            </w:pPr>
          </w:p>
        </w:tc>
        <w:tc>
          <w:tcPr>
            <w:tcW w:w="2250" w:type="dxa"/>
            <w:noWrap w:val="0"/>
            <w:vAlign w:val="center"/>
          </w:tcPr>
          <w:p w14:paraId="00EA4829">
            <w:pPr>
              <w:pStyle w:val="43"/>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7415" w:type="dxa"/>
            <w:noWrap w:val="0"/>
            <w:vAlign w:val="center"/>
          </w:tcPr>
          <w:p w14:paraId="1BFA3778">
            <w:pPr>
              <w:pStyle w:val="43"/>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（填写《无违法违纪行为承诺书》，模板参考本文件格式</w:t>
            </w:r>
            <w:r>
              <w:rPr>
                <w:rFonts w:hint="eastAsia" w:cs="Tahoma"/>
                <w:b/>
                <w:bCs/>
                <w:color w:val="000000"/>
                <w:kern w:val="28"/>
                <w:szCs w:val="24"/>
                <w:highlight w:val="none"/>
                <w:lang w:val="en-US" w:eastAsia="zh-CN"/>
              </w:rPr>
              <w:t>八</w:t>
            </w:r>
            <w:r>
              <w:rPr>
                <w:rFonts w:hint="eastAsia" w:cs="Tahoma"/>
                <w:b/>
                <w:bCs/>
                <w:color w:val="000000"/>
                <w:kern w:val="28"/>
                <w:szCs w:val="24"/>
                <w:highlight w:val="none"/>
              </w:rPr>
              <w:t>）</w:t>
            </w:r>
          </w:p>
        </w:tc>
      </w:tr>
      <w:tr w14:paraId="01A4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950" w:type="dxa"/>
            <w:noWrap w:val="0"/>
            <w:vAlign w:val="center"/>
          </w:tcPr>
          <w:p w14:paraId="460FB3FE">
            <w:pPr>
              <w:pStyle w:val="43"/>
              <w:numPr>
                <w:ilvl w:val="0"/>
                <w:numId w:val="1"/>
              </w:numPr>
              <w:jc w:val="center"/>
              <w:rPr>
                <w:szCs w:val="21"/>
                <w:highlight w:val="none"/>
              </w:rPr>
            </w:pPr>
          </w:p>
        </w:tc>
        <w:tc>
          <w:tcPr>
            <w:tcW w:w="2250" w:type="dxa"/>
            <w:noWrap w:val="0"/>
            <w:vAlign w:val="center"/>
          </w:tcPr>
          <w:p w14:paraId="047D2CEA">
            <w:pPr>
              <w:pStyle w:val="43"/>
              <w:spacing w:line="400" w:lineRule="exact"/>
              <w:ind w:left="102" w:leftChars="0" w:right="86" w:rightChars="0"/>
              <w:jc w:val="center"/>
              <w:rPr>
                <w:rFonts w:hint="eastAsia"/>
                <w:szCs w:val="21"/>
                <w:highlight w:val="none"/>
              </w:rPr>
            </w:pPr>
            <w:r>
              <w:rPr>
                <w:rFonts w:hint="eastAsia" w:ascii="Times New Roman" w:hAnsi="Times New Roman" w:eastAsia="宋体" w:cs="Times New Roman"/>
                <w:szCs w:val="21"/>
                <w:highlight w:val="none"/>
              </w:rPr>
              <w:t>本项目的特定资格要求</w:t>
            </w:r>
          </w:p>
        </w:tc>
        <w:tc>
          <w:tcPr>
            <w:tcW w:w="7415" w:type="dxa"/>
            <w:noWrap w:val="0"/>
            <w:vAlign w:val="center"/>
          </w:tcPr>
          <w:p w14:paraId="14065218">
            <w:pPr>
              <w:spacing w:line="360" w:lineRule="auto"/>
              <w:jc w:val="left"/>
              <w:rPr>
                <w:rFonts w:hint="eastAsia" w:cs="Tahoma"/>
                <w:color w:val="000000"/>
                <w:kern w:val="28"/>
                <w:szCs w:val="24"/>
                <w:highlight w:val="none"/>
              </w:rPr>
            </w:pPr>
            <w:r>
              <w:rPr>
                <w:rFonts w:hint="eastAsia" w:ascii="Times New Roman" w:hAnsi="Times New Roman" w:eastAsia="宋体" w:cs="Tahoma"/>
                <w:color w:val="000000"/>
                <w:kern w:val="28"/>
                <w:sz w:val="21"/>
                <w:szCs w:val="24"/>
                <w:highlight w:val="none"/>
                <w:lang w:val="en-US" w:eastAsia="zh-CN" w:bidi="ar-SA"/>
              </w:rPr>
              <w:t>如</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人属于所投医疗器械的制造商时，提供《医疗器械生产许可证》（适用第二类、第三类医疗器械）或《医疗器械生产备案凭证》（适用第一类医疗器械）。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人所投医疗器械适用第一类医疗器械时，《医疗器械生产备案凭证》可在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w:t>
            </w:r>
            <w:r>
              <w:rPr>
                <w:rFonts w:hint="eastAsia" w:cs="Tahoma"/>
                <w:color w:val="000000"/>
                <w:kern w:val="28"/>
                <w:sz w:val="21"/>
                <w:szCs w:val="24"/>
                <w:highlight w:val="none"/>
                <w:lang w:val="en-US" w:eastAsia="zh-CN" w:bidi="ar-SA"/>
              </w:rPr>
              <w:t>成交</w:t>
            </w:r>
            <w:r>
              <w:rPr>
                <w:rFonts w:hint="eastAsia" w:ascii="Times New Roman" w:hAnsi="Times New Roman" w:eastAsia="宋体" w:cs="Tahoma"/>
                <w:color w:val="000000"/>
                <w:kern w:val="28"/>
                <w:sz w:val="21"/>
                <w:szCs w:val="24"/>
                <w:highlight w:val="none"/>
                <w:lang w:val="en-US" w:eastAsia="zh-CN" w:bidi="ar-SA"/>
              </w:rPr>
              <w:t>后，按法定合同签订时限前可取得《医疗器械生产备案凭证》）；若</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人不属于所投医疗器械的制造商时，提供《医疗器械经营许可证》或《食品药品经营许可证》（适用第三类医疗器械）或《医疗器械经营备案凭证》（适用第二类医疗器械）。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人所投医疗器械适用第二类医疗器械时，《医疗器械经营备案凭证》可在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w:t>
            </w:r>
            <w:r>
              <w:rPr>
                <w:rFonts w:hint="eastAsia" w:cs="Tahoma"/>
                <w:color w:val="000000"/>
                <w:kern w:val="28"/>
                <w:sz w:val="21"/>
                <w:szCs w:val="24"/>
                <w:highlight w:val="none"/>
                <w:lang w:val="en-US" w:eastAsia="zh-CN" w:bidi="ar-SA"/>
              </w:rPr>
              <w:t>成交</w:t>
            </w:r>
            <w:r>
              <w:rPr>
                <w:rFonts w:hint="eastAsia" w:ascii="Times New Roman" w:hAnsi="Times New Roman" w:eastAsia="宋体" w:cs="Tahoma"/>
                <w:color w:val="000000"/>
                <w:kern w:val="28"/>
                <w:sz w:val="21"/>
                <w:szCs w:val="24"/>
                <w:highlight w:val="none"/>
                <w:lang w:val="en-US" w:eastAsia="zh-CN" w:bidi="ar-SA"/>
              </w:rPr>
              <w:t>后，按法定合同签订时限前可取得《医疗器械经营备案凭证》）。（如国家另有规定，则适用其规定）</w:t>
            </w:r>
          </w:p>
        </w:tc>
      </w:tr>
    </w:tbl>
    <w:p w14:paraId="523AA3F8">
      <w:pPr>
        <w:pStyle w:val="41"/>
        <w:spacing w:line="360" w:lineRule="auto"/>
        <w:rPr>
          <w:rFonts w:hint="eastAsia" w:cs="Tahoma"/>
          <w:color w:val="000000"/>
          <w:kern w:val="28"/>
          <w:szCs w:val="24"/>
          <w:highlight w:val="none"/>
        </w:rPr>
      </w:pPr>
    </w:p>
    <w:p w14:paraId="1DA1545E">
      <w:pPr>
        <w:pStyle w:val="41"/>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20"/>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3"/>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w:t>
            </w:r>
            <w:r>
              <w:rPr>
                <w:rFonts w:hint="eastAsia" w:cs="Times New Roman"/>
                <w:bCs/>
                <w:szCs w:val="21"/>
                <w:highlight w:val="none"/>
                <w:lang w:val="en-US" w:eastAsia="zh-CN"/>
              </w:rPr>
              <w:t>遴选文件</w:t>
            </w:r>
            <w:r>
              <w:rPr>
                <w:rFonts w:hint="eastAsia" w:ascii="Times New Roman" w:hAnsi="Times New Roman" w:eastAsia="宋体" w:cs="Times New Roman"/>
                <w:bCs/>
                <w:szCs w:val="21"/>
                <w:highlight w:val="none"/>
                <w:lang w:val="en-US" w:eastAsia="zh-CN"/>
              </w:rPr>
              <w:t>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3"/>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w:t>
            </w:r>
            <w:r>
              <w:rPr>
                <w:rFonts w:hint="eastAsia" w:cs="Times New Roman"/>
                <w:bCs/>
                <w:szCs w:val="21"/>
                <w:highlight w:val="none"/>
                <w:lang w:val="en-US" w:eastAsia="zh-CN"/>
              </w:rPr>
              <w:t>遴选文件</w:t>
            </w:r>
            <w:r>
              <w:rPr>
                <w:rFonts w:hint="eastAsia" w:ascii="Times New Roman" w:hAnsi="Times New Roman" w:eastAsia="宋体" w:cs="Times New Roman"/>
                <w:bCs/>
                <w:szCs w:val="21"/>
                <w:highlight w:val="none"/>
                <w:lang w:val="en-US" w:eastAsia="zh-CN"/>
              </w:rPr>
              <w:t>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标注★号条款响应情况（如适用）</w:t>
            </w:r>
          </w:p>
        </w:tc>
      </w:tr>
      <w:tr w14:paraId="78923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1B8D9CC5">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4</w:t>
            </w:r>
          </w:p>
        </w:tc>
        <w:tc>
          <w:tcPr>
            <w:tcW w:w="2568" w:type="dxa"/>
            <w:noWrap w:val="0"/>
            <w:vAlign w:val="center"/>
          </w:tcPr>
          <w:p w14:paraId="390D729D">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需求响应</w:t>
            </w:r>
          </w:p>
        </w:tc>
        <w:tc>
          <w:tcPr>
            <w:tcW w:w="6414" w:type="dxa"/>
            <w:noWrap w:val="0"/>
            <w:vAlign w:val="center"/>
          </w:tcPr>
          <w:p w14:paraId="57A21FCD">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如实响应“</w:t>
            </w:r>
            <w:r>
              <w:rPr>
                <w:rFonts w:hint="eastAsia" w:cs="Times New Roman"/>
                <w:bCs/>
                <w:szCs w:val="21"/>
                <w:highlight w:val="none"/>
                <w:lang w:val="en-US" w:eastAsia="zh-CN"/>
              </w:rPr>
              <w:t>项目</w:t>
            </w:r>
            <w:r>
              <w:rPr>
                <w:rFonts w:hint="eastAsia" w:ascii="Times New Roman" w:hAnsi="Times New Roman" w:eastAsia="宋体" w:cs="Times New Roman"/>
                <w:bCs/>
                <w:szCs w:val="21"/>
                <w:highlight w:val="none"/>
                <w:lang w:val="en-US" w:eastAsia="zh-CN"/>
              </w:rPr>
              <w:t>需求”要求</w:t>
            </w:r>
          </w:p>
        </w:tc>
      </w:tr>
      <w:tr w14:paraId="0EFC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05DD46BF">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5</w:t>
            </w:r>
          </w:p>
        </w:tc>
        <w:tc>
          <w:tcPr>
            <w:tcW w:w="2568" w:type="dxa"/>
            <w:noWrap w:val="0"/>
            <w:vAlign w:val="center"/>
          </w:tcPr>
          <w:p w14:paraId="39865EA8">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其他</w:t>
            </w:r>
          </w:p>
        </w:tc>
        <w:tc>
          <w:tcPr>
            <w:tcW w:w="6414" w:type="dxa"/>
            <w:noWrap w:val="0"/>
            <w:vAlign w:val="center"/>
          </w:tcPr>
          <w:p w14:paraId="0D8B187A">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无</w:t>
            </w:r>
            <w:r>
              <w:rPr>
                <w:rFonts w:hint="eastAsia" w:cs="Times New Roman"/>
                <w:bCs/>
                <w:szCs w:val="21"/>
                <w:highlight w:val="none"/>
                <w:lang w:val="en-US" w:eastAsia="zh-CN"/>
              </w:rPr>
              <w:t>遴选</w:t>
            </w:r>
            <w:r>
              <w:rPr>
                <w:rFonts w:hint="eastAsia" w:ascii="Times New Roman" w:hAnsi="Times New Roman" w:eastAsia="宋体" w:cs="Times New Roman"/>
                <w:bCs/>
                <w:szCs w:val="21"/>
                <w:highlight w:val="none"/>
                <w:lang w:val="en-US" w:eastAsia="zh-CN"/>
              </w:rPr>
              <w:t>文件或法规明确规定可以废标的其他情形</w:t>
            </w:r>
          </w:p>
        </w:tc>
      </w:tr>
    </w:tbl>
    <w:p w14:paraId="1FA6F0EC">
      <w:pPr>
        <w:pStyle w:val="41"/>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59DD235">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203716B5">
      <w:pPr>
        <w:spacing w:line="360" w:lineRule="auto"/>
        <w:jc w:val="center"/>
        <w:rPr>
          <w:rFonts w:hint="eastAsia" w:ascii="宋体" w:hAnsi="宋体" w:eastAsia="宋体" w:cs="Times New Roman"/>
          <w:b/>
          <w:sz w:val="36"/>
          <w:szCs w:val="36"/>
          <w:highlight w:val="none"/>
          <w:lang w:val="en-US" w:eastAsia="zh-CN"/>
        </w:rPr>
      </w:pPr>
    </w:p>
    <w:p w14:paraId="57F3896D">
      <w:pPr>
        <w:spacing w:line="360" w:lineRule="auto"/>
        <w:jc w:val="center"/>
        <w:rPr>
          <w:rFonts w:hint="eastAsia" w:ascii="宋体" w:hAnsi="宋体" w:eastAsia="宋体" w:cs="Times New Roman"/>
          <w:b/>
          <w:sz w:val="36"/>
          <w:szCs w:val="36"/>
          <w:highlight w:val="none"/>
          <w:lang w:val="en-US" w:eastAsia="zh-CN"/>
        </w:rPr>
      </w:pPr>
    </w:p>
    <w:p w14:paraId="1FA7FE03">
      <w:pPr>
        <w:spacing w:line="360" w:lineRule="auto"/>
        <w:jc w:val="center"/>
        <w:rPr>
          <w:rFonts w:hint="eastAsia" w:ascii="宋体" w:hAnsi="宋体" w:eastAsia="宋体" w:cs="Times New Roman"/>
          <w:b/>
          <w:sz w:val="36"/>
          <w:szCs w:val="36"/>
          <w:highlight w:val="none"/>
          <w:lang w:val="en-US" w:eastAsia="zh-CN"/>
        </w:rPr>
      </w:pPr>
    </w:p>
    <w:p w14:paraId="7AAD0DE6">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both"/>
        <w:rPr>
          <w:rFonts w:hint="eastAsia" w:ascii="宋体" w:hAnsi="宋体" w:eastAsia="宋体" w:cs="Times New Roman"/>
          <w:b/>
          <w:sz w:val="36"/>
          <w:szCs w:val="36"/>
          <w:highlight w:val="none"/>
          <w:lang w:val="en-US" w:eastAsia="zh-CN"/>
        </w:rPr>
      </w:pPr>
    </w:p>
    <w:p w14:paraId="63850602">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1"/>
        <w:spacing w:line="360" w:lineRule="auto"/>
        <w:rPr>
          <w:rFonts w:hint="eastAsia" w:eastAsia="宋体"/>
          <w:b/>
          <w:color w:val="000000"/>
          <w:highlight w:val="none"/>
          <w:lang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jc w:val="center"/>
        </w:trPr>
        <w:tc>
          <w:tcPr>
            <w:tcW w:w="732" w:type="dxa"/>
            <w:noWrap w:val="0"/>
            <w:vAlign w:val="center"/>
          </w:tcPr>
          <w:p w14:paraId="0455CCF1">
            <w:pPr>
              <w:pStyle w:val="41"/>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1"/>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1"/>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1"/>
              <w:spacing w:line="360" w:lineRule="auto"/>
              <w:rPr>
                <w:rFonts w:hint="eastAsia" w:cs="Tahoma"/>
                <w:color w:val="000000"/>
                <w:kern w:val="28"/>
                <w:szCs w:val="24"/>
                <w:highlight w:val="none"/>
              </w:rPr>
            </w:pPr>
            <w:r>
              <w:rPr>
                <w:rFonts w:hint="eastAsia" w:cs="Tahoma"/>
                <w:color w:val="000000"/>
                <w:kern w:val="28"/>
                <w:szCs w:val="24"/>
                <w:highlight w:val="none"/>
              </w:rPr>
              <w:t>首页及文件目录（</w:t>
            </w:r>
            <w:r>
              <w:rPr>
                <w:rFonts w:hint="eastAsia" w:cs="Tahoma"/>
                <w:color w:val="000000"/>
                <w:kern w:val="28"/>
                <w:szCs w:val="24"/>
                <w:highlight w:val="none"/>
                <w:lang w:val="en-US" w:eastAsia="zh-CN"/>
              </w:rPr>
              <w:t>按照公告附件2：遴选项目文件封面</w:t>
            </w:r>
            <w:r>
              <w:rPr>
                <w:rFonts w:hint="eastAsia" w:cs="Tahoma"/>
                <w:color w:val="000000"/>
                <w:kern w:val="28"/>
                <w:szCs w:val="24"/>
                <w:highlight w:val="none"/>
              </w:rPr>
              <w:t>）</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1"/>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1"/>
              <w:spacing w:line="360" w:lineRule="auto"/>
              <w:rPr>
                <w:rFonts w:cs="Tahoma"/>
                <w:color w:val="000000"/>
                <w:kern w:val="28"/>
                <w:szCs w:val="24"/>
                <w:highlight w:val="none"/>
              </w:rPr>
            </w:pPr>
            <w:r>
              <w:rPr>
                <w:rFonts w:hint="eastAsia" w:cs="Tahoma"/>
                <w:color w:val="000000"/>
                <w:kern w:val="28"/>
                <w:szCs w:val="24"/>
                <w:highlight w:val="none"/>
              </w:rPr>
              <w:t>项目报价单、配置清单（参考格式三：报价表填写）</w:t>
            </w:r>
          </w:p>
        </w:tc>
      </w:tr>
      <w:tr w14:paraId="2EC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2" w:type="dxa"/>
            <w:noWrap w:val="0"/>
            <w:vAlign w:val="center"/>
          </w:tcPr>
          <w:p w14:paraId="44C63C3C">
            <w:pPr>
              <w:pStyle w:val="41"/>
              <w:spacing w:line="360" w:lineRule="auto"/>
              <w:jc w:val="center"/>
              <w:rPr>
                <w:rFonts w:cs="Tahoma"/>
                <w:color w:val="000000"/>
                <w:kern w:val="28"/>
                <w:szCs w:val="24"/>
                <w:highlight w:val="none"/>
              </w:rPr>
            </w:pPr>
            <w:r>
              <w:rPr>
                <w:rFonts w:hint="eastAsia" w:cs="Tahoma"/>
                <w:color w:val="000000"/>
                <w:kern w:val="28"/>
                <w:szCs w:val="24"/>
                <w:highlight w:val="none"/>
              </w:rPr>
              <w:t>3</w:t>
            </w:r>
          </w:p>
        </w:tc>
        <w:tc>
          <w:tcPr>
            <w:tcW w:w="8556" w:type="dxa"/>
            <w:noWrap w:val="0"/>
            <w:vAlign w:val="center"/>
          </w:tcPr>
          <w:p w14:paraId="7CD3B63E">
            <w:pPr>
              <w:pStyle w:val="41"/>
              <w:spacing w:line="360" w:lineRule="auto"/>
              <w:rPr>
                <w:rFonts w:hint="eastAsia" w:cs="Tahoma"/>
                <w:color w:val="000000"/>
                <w:kern w:val="28"/>
                <w:szCs w:val="24"/>
                <w:highlight w:val="none"/>
              </w:rPr>
            </w:pPr>
            <w:r>
              <w:rPr>
                <w:rFonts w:hint="eastAsia" w:cs="Tahoma"/>
                <w:color w:val="000000"/>
                <w:kern w:val="28"/>
                <w:szCs w:val="24"/>
                <w:highlight w:val="none"/>
              </w:rPr>
              <w:t>产品彩页及介绍、货物规格、参数、材质等</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1"/>
              <w:spacing w:line="360" w:lineRule="auto"/>
              <w:jc w:val="center"/>
              <w:rPr>
                <w:rFonts w:cs="Tahoma"/>
                <w:color w:val="000000"/>
                <w:kern w:val="28"/>
                <w:szCs w:val="24"/>
                <w:highlight w:val="none"/>
              </w:rPr>
            </w:pPr>
            <w:r>
              <w:rPr>
                <w:rFonts w:hint="eastAsia" w:cs="Tahoma"/>
                <w:color w:val="000000"/>
                <w:kern w:val="28"/>
                <w:szCs w:val="24"/>
                <w:highlight w:val="none"/>
              </w:rPr>
              <w:t>4</w:t>
            </w:r>
          </w:p>
        </w:tc>
        <w:tc>
          <w:tcPr>
            <w:tcW w:w="8556" w:type="dxa"/>
            <w:noWrap w:val="0"/>
            <w:vAlign w:val="center"/>
          </w:tcPr>
          <w:p w14:paraId="55C1D1EE">
            <w:pPr>
              <w:pStyle w:val="41"/>
              <w:spacing w:line="360" w:lineRule="auto"/>
              <w:rPr>
                <w:rFonts w:cs="Tahoma"/>
                <w:color w:val="000000"/>
                <w:kern w:val="28"/>
                <w:szCs w:val="24"/>
                <w:highlight w:val="none"/>
              </w:rPr>
            </w:pPr>
            <w:r>
              <w:rPr>
                <w:rFonts w:hint="eastAsia" w:cs="Tahoma"/>
                <w:color w:val="000000"/>
                <w:kern w:val="28"/>
                <w:szCs w:val="24"/>
              </w:rPr>
              <w:t>供应商的介绍（综合实力），全套证件资料（包括医疗设备经营（生产）许可证、营业执照、税务登记证、组织机构代码证、医疗器械注册证或医疗</w:t>
            </w:r>
            <w:r>
              <w:rPr>
                <w:rFonts w:cs="Tahoma"/>
                <w:color w:val="000000"/>
                <w:kern w:val="28"/>
                <w:szCs w:val="24"/>
              </w:rPr>
              <w:t>器械备案</w:t>
            </w:r>
            <w:r>
              <w:rPr>
                <w:rFonts w:hint="eastAsia" w:cs="Tahoma"/>
                <w:color w:val="000000"/>
                <w:kern w:val="28"/>
                <w:szCs w:val="24"/>
              </w:rPr>
              <w:t>证、医疗器械注册登记表等）</w:t>
            </w:r>
            <w:r>
              <w:rPr>
                <w:rFonts w:hint="eastAsia" w:cs="Tahoma"/>
                <w:color w:val="000000"/>
                <w:kern w:val="28"/>
                <w:szCs w:val="24"/>
                <w:lang w:eastAsia="zh-CN"/>
              </w:rPr>
              <w:t>，</w:t>
            </w:r>
            <w:r>
              <w:rPr>
                <w:rFonts w:hint="eastAsia" w:cs="Tahoma"/>
                <w:color w:val="000000"/>
                <w:kern w:val="28"/>
                <w:szCs w:val="24"/>
                <w:lang w:val="en-US" w:eastAsia="zh-CN"/>
              </w:rPr>
              <w:t>信用中国等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1E85A5D5">
            <w:pPr>
              <w:pStyle w:val="41"/>
              <w:spacing w:line="360" w:lineRule="auto"/>
              <w:rPr>
                <w:rFonts w:hint="eastAsia" w:eastAsia="宋体" w:cs="Tahoma"/>
                <w:color w:val="000000"/>
                <w:kern w:val="28"/>
                <w:szCs w:val="24"/>
                <w:highlight w:val="none"/>
                <w:lang w:eastAsia="zh-CN"/>
              </w:rPr>
            </w:pPr>
            <w:r>
              <w:rPr>
                <w:rFonts w:hint="eastAsia" w:cs="Tahoma"/>
                <w:color w:val="000000"/>
                <w:kern w:val="28"/>
                <w:szCs w:val="24"/>
              </w:rPr>
              <w:t>《</w:t>
            </w:r>
            <w:r>
              <w:rPr>
                <w:rFonts w:hint="eastAsia" w:cs="Tahoma"/>
                <w:color w:val="000000"/>
                <w:kern w:val="28"/>
                <w:szCs w:val="24"/>
                <w:lang w:val="en-US" w:eastAsia="zh-CN"/>
              </w:rPr>
              <w:t>技术</w:t>
            </w:r>
            <w:r>
              <w:rPr>
                <w:rFonts w:hint="eastAsia" w:cs="Tahoma"/>
                <w:color w:val="000000"/>
                <w:kern w:val="28"/>
                <w:szCs w:val="24"/>
              </w:rPr>
              <w:t>需求响应表》（参考格式四：</w:t>
            </w:r>
            <w:r>
              <w:rPr>
                <w:rFonts w:hint="eastAsia" w:cs="Tahoma"/>
                <w:color w:val="000000"/>
                <w:kern w:val="28"/>
                <w:szCs w:val="24"/>
                <w:lang w:val="en-US" w:eastAsia="zh-CN"/>
              </w:rPr>
              <w:t>技术</w:t>
            </w:r>
            <w:r>
              <w:rPr>
                <w:rFonts w:hint="eastAsia" w:cs="Tahoma"/>
                <w:color w:val="000000"/>
                <w:kern w:val="28"/>
                <w:szCs w:val="24"/>
              </w:rPr>
              <w:t>需求响应表填写）</w:t>
            </w:r>
          </w:p>
        </w:tc>
      </w:tr>
      <w:tr w14:paraId="4380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45570A">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6</w:t>
            </w:r>
          </w:p>
        </w:tc>
        <w:tc>
          <w:tcPr>
            <w:tcW w:w="8556" w:type="dxa"/>
            <w:noWrap w:val="0"/>
            <w:vAlign w:val="center"/>
          </w:tcPr>
          <w:p w14:paraId="4853DFF2">
            <w:pPr>
              <w:pStyle w:val="41"/>
              <w:spacing w:line="360" w:lineRule="auto"/>
              <w:rPr>
                <w:rFonts w:hint="eastAsia" w:cs="Tahoma"/>
                <w:color w:val="000000"/>
                <w:kern w:val="28"/>
                <w:szCs w:val="24"/>
                <w:highlight w:val="none"/>
              </w:rPr>
            </w:pPr>
            <w:r>
              <w:rPr>
                <w:rFonts w:hint="eastAsia" w:cs="Tahoma"/>
                <w:color w:val="000000"/>
                <w:kern w:val="28"/>
                <w:szCs w:val="24"/>
              </w:rPr>
              <w:t>《商务需求响应表》（参考格式五：商务条款响应表填写）</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63BD8EC3">
            <w:pPr>
              <w:pStyle w:val="41"/>
              <w:spacing w:line="360" w:lineRule="auto"/>
              <w:rPr>
                <w:rFonts w:cs="Tahoma"/>
                <w:color w:val="000000"/>
                <w:kern w:val="28"/>
                <w:szCs w:val="24"/>
                <w:highlight w:val="none"/>
              </w:rPr>
            </w:pPr>
            <w:r>
              <w:rPr>
                <w:rFonts w:hint="eastAsia" w:cs="Tahoma"/>
                <w:color w:val="000000"/>
                <w:kern w:val="28"/>
                <w:szCs w:val="24"/>
                <w:highlight w:val="none"/>
              </w:rPr>
              <w:t>项目组织实施方案：包括</w:t>
            </w:r>
            <w:r>
              <w:rPr>
                <w:rFonts w:hint="eastAsia" w:cs="Tahoma"/>
                <w:color w:val="000000"/>
                <w:kern w:val="28"/>
                <w:szCs w:val="24"/>
                <w:highlight w:val="none"/>
                <w:lang w:val="en-US" w:eastAsia="zh-CN"/>
              </w:rPr>
              <w:t>项目实施方</w:t>
            </w:r>
            <w:r>
              <w:rPr>
                <w:rFonts w:hint="eastAsia" w:ascii="宋体" w:hAnsi="Times New Roman" w:eastAsia="宋体" w:cs="Tahoma"/>
                <w:color w:val="000000"/>
                <w:kern w:val="28"/>
                <w:szCs w:val="24"/>
                <w:highlight w:val="none"/>
                <w:lang w:val="en-US" w:eastAsia="zh-CN"/>
              </w:rPr>
              <w:t>案（配送响应时间、配送产品效期时长（精确到月份）、退换货方案）</w:t>
            </w:r>
            <w:r>
              <w:rPr>
                <w:rFonts w:hint="eastAsia" w:ascii="宋体" w:hAnsi="Times New Roman" w:eastAsia="宋体" w:cs="Tahoma"/>
                <w:color w:val="000000"/>
                <w:kern w:val="28"/>
                <w:szCs w:val="24"/>
                <w:highlight w:val="none"/>
              </w:rPr>
              <w:t>、供</w:t>
            </w:r>
            <w:r>
              <w:rPr>
                <w:rFonts w:hint="eastAsia" w:cs="Tahoma"/>
                <w:color w:val="000000"/>
                <w:kern w:val="28"/>
                <w:szCs w:val="24"/>
                <w:highlight w:val="none"/>
              </w:rPr>
              <w:t>货</w:t>
            </w:r>
            <w:r>
              <w:rPr>
                <w:rFonts w:hint="eastAsia" w:cs="Tahoma"/>
                <w:color w:val="000000"/>
                <w:kern w:val="28"/>
                <w:szCs w:val="24"/>
                <w:highlight w:val="none"/>
                <w:lang w:val="en-US" w:eastAsia="zh-CN"/>
              </w:rPr>
              <w:t>配送</w:t>
            </w:r>
            <w:r>
              <w:rPr>
                <w:rFonts w:cs="Tahoma"/>
                <w:color w:val="000000"/>
                <w:kern w:val="28"/>
                <w:szCs w:val="24"/>
                <w:highlight w:val="none"/>
              </w:rPr>
              <w:t>时间、</w:t>
            </w:r>
            <w:r>
              <w:rPr>
                <w:rFonts w:hint="eastAsia" w:cs="Tahoma"/>
                <w:color w:val="000000"/>
                <w:kern w:val="28"/>
                <w:szCs w:val="24"/>
                <w:highlight w:val="none"/>
              </w:rPr>
              <w:t>项目验收方案、人员安排等。</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8</w:t>
            </w:r>
          </w:p>
        </w:tc>
        <w:tc>
          <w:tcPr>
            <w:tcW w:w="8556" w:type="dxa"/>
            <w:noWrap w:val="0"/>
            <w:vAlign w:val="center"/>
          </w:tcPr>
          <w:p w14:paraId="60798445">
            <w:pPr>
              <w:pStyle w:val="41"/>
              <w:spacing w:line="360" w:lineRule="auto"/>
              <w:rPr>
                <w:rFonts w:cs="Tahoma"/>
                <w:color w:val="000000"/>
                <w:kern w:val="28"/>
                <w:szCs w:val="24"/>
                <w:highlight w:val="none"/>
              </w:rPr>
            </w:pPr>
            <w:r>
              <w:rPr>
                <w:rFonts w:hint="eastAsia" w:ascii="宋体" w:hAnsi="Times New Roman" w:eastAsia="宋体" w:cs="Tahoma"/>
                <w:color w:val="000000"/>
                <w:kern w:val="28"/>
                <w:szCs w:val="24"/>
                <w:highlight w:val="none"/>
                <w:lang w:val="en-US" w:eastAsia="zh-CN"/>
              </w:rPr>
              <w:t>售后服务方案（应急备货保证方案、质量问题反馈响应时间、到场处理响应时间）</w:t>
            </w:r>
            <w:r>
              <w:rPr>
                <w:rFonts w:hint="eastAsia" w:ascii="宋体" w:hAnsi="Times New Roman" w:eastAsia="宋体" w:cs="Tahoma"/>
                <w:color w:val="000000"/>
                <w:kern w:val="28"/>
                <w:szCs w:val="24"/>
                <w:highlight w:val="none"/>
              </w:rPr>
              <w:t>、承诺书。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9</w:t>
            </w:r>
          </w:p>
        </w:tc>
        <w:tc>
          <w:tcPr>
            <w:tcW w:w="8556" w:type="dxa"/>
            <w:noWrap w:val="0"/>
            <w:vAlign w:val="center"/>
          </w:tcPr>
          <w:p w14:paraId="290C025A">
            <w:pPr>
              <w:pStyle w:val="41"/>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5AF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35A000B">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10</w:t>
            </w:r>
          </w:p>
        </w:tc>
        <w:tc>
          <w:tcPr>
            <w:tcW w:w="8556" w:type="dxa"/>
            <w:noWrap w:val="0"/>
            <w:vAlign w:val="center"/>
          </w:tcPr>
          <w:p w14:paraId="38D9CF2D">
            <w:pPr>
              <w:pStyle w:val="41"/>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11</w:t>
            </w:r>
          </w:p>
        </w:tc>
        <w:tc>
          <w:tcPr>
            <w:tcW w:w="8556" w:type="dxa"/>
            <w:noWrap w:val="0"/>
            <w:vAlign w:val="top"/>
          </w:tcPr>
          <w:p w14:paraId="593D6CD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（可参考格式六《供应商资格信用承诺函》填写）</w:t>
            </w:r>
          </w:p>
          <w:p w14:paraId="160FE354">
            <w:pPr>
              <w:rPr>
                <w:rFonts w:hint="eastAsia"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top"/>
          </w:tcPr>
          <w:p w14:paraId="36F7F6E1">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（参考格式六《供应商资格信用承诺函》填写）</w:t>
            </w:r>
          </w:p>
          <w:p w14:paraId="5E136B95">
            <w:pPr>
              <w:rPr>
                <w:rFonts w:hint="eastAsia"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3</w:t>
            </w:r>
          </w:p>
        </w:tc>
        <w:tc>
          <w:tcPr>
            <w:tcW w:w="8556" w:type="dxa"/>
            <w:noWrap w:val="0"/>
            <w:vAlign w:val="top"/>
          </w:tcPr>
          <w:p w14:paraId="2FD714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（参考格式六《供应商资格信用承诺函》填写）</w:t>
            </w:r>
          </w:p>
          <w:p w14:paraId="299053D2">
            <w:pPr>
              <w:rPr>
                <w:rFonts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4</w:t>
            </w:r>
          </w:p>
        </w:tc>
        <w:tc>
          <w:tcPr>
            <w:tcW w:w="8556" w:type="dxa"/>
            <w:noWrap w:val="0"/>
            <w:vAlign w:val="center"/>
          </w:tcPr>
          <w:p w14:paraId="0429F930">
            <w:pPr>
              <w:pStyle w:val="4"/>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出具《无围标、串标行为承诺书》、《无重大违法违纪行为承诺书》。（参考格式七、格式八）</w:t>
            </w:r>
          </w:p>
        </w:tc>
      </w:tr>
      <w:tr w14:paraId="29E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7707067">
            <w:pPr>
              <w:pStyle w:val="41"/>
              <w:spacing w:line="360" w:lineRule="auto"/>
              <w:jc w:val="center"/>
              <w:rPr>
                <w:rFonts w:hint="default" w:cs="Tahoma"/>
                <w:color w:val="000000"/>
                <w:kern w:val="28"/>
                <w:szCs w:val="24"/>
                <w:highlight w:val="none"/>
                <w:lang w:val="en-US"/>
              </w:rPr>
            </w:pPr>
            <w:r>
              <w:rPr>
                <w:rFonts w:hint="eastAsia" w:cs="Tahoma"/>
                <w:color w:val="000000"/>
                <w:kern w:val="28"/>
                <w:szCs w:val="24"/>
                <w:lang w:val="en-US" w:eastAsia="zh-CN"/>
              </w:rPr>
              <w:t>15</w:t>
            </w:r>
          </w:p>
        </w:tc>
        <w:tc>
          <w:tcPr>
            <w:tcW w:w="8556" w:type="dxa"/>
            <w:noWrap w:val="0"/>
            <w:vAlign w:val="center"/>
          </w:tcPr>
          <w:p w14:paraId="10E963B8">
            <w:pPr>
              <w:jc w:val="left"/>
              <w:rPr>
                <w:rFonts w:hint="eastAsia" w:ascii="Times New Roman" w:hAnsi="Times New Roman" w:eastAsia="宋体" w:cs="Tahoma"/>
                <w:color w:val="000000"/>
                <w:kern w:val="28"/>
                <w:sz w:val="24"/>
                <w:lang w:val="en-US" w:eastAsia="zh-CN"/>
              </w:rPr>
            </w:pPr>
            <w:r>
              <w:rPr>
                <w:rFonts w:hint="eastAsia" w:ascii="Times New Roman" w:hAnsi="Times New Roman" w:eastAsia="宋体" w:cs="Tahoma"/>
                <w:color w:val="000000"/>
                <w:kern w:val="28"/>
                <w:sz w:val="24"/>
                <w:lang w:val="en-US" w:eastAsia="zh-CN"/>
              </w:rPr>
              <w:t>针对本项目“</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”号条款和非“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”号条款进行响应</w:t>
            </w:r>
            <w:r>
              <w:rPr>
                <w:rFonts w:hint="eastAsia" w:cs="Tahoma"/>
                <w:color w:val="000000"/>
                <w:kern w:val="28"/>
                <w:sz w:val="24"/>
                <w:lang w:val="en-US" w:eastAsia="zh-CN"/>
              </w:rPr>
              <w:t>（如有）</w:t>
            </w:r>
            <w:r>
              <w:rPr>
                <w:rFonts w:hint="eastAsia" w:ascii="Times New Roman" w:hAnsi="Times New Roman" w:eastAsia="宋体" w:cs="Tahoma"/>
                <w:color w:val="000000"/>
                <w:kern w:val="28"/>
                <w:sz w:val="24"/>
                <w:lang w:val="en-US" w:eastAsia="zh-CN"/>
              </w:rPr>
              <w:t>。</w:t>
            </w:r>
          </w:p>
          <w:p w14:paraId="597686BA">
            <w:pPr>
              <w:jc w:val="left"/>
              <w:rPr>
                <w:rFonts w:hint="eastAsia" w:hAnsi="Times New Roman" w:cs="Tahoma"/>
                <w:b w:val="0"/>
                <w:bCs w:val="0"/>
                <w:color w:val="000000"/>
                <w:kern w:val="28"/>
                <w:sz w:val="24"/>
                <w:highlight w:val="none"/>
              </w:rPr>
            </w:pPr>
            <w:r>
              <w:rPr>
                <w:rFonts w:hint="eastAsia" w:ascii="Times New Roman" w:hAnsi="Times New Roman" w:eastAsia="宋体" w:cs="Tahoma"/>
                <w:color w:val="000000"/>
                <w:kern w:val="28"/>
                <w:sz w:val="24"/>
              </w:rPr>
              <w:t>【注：打“★”号条款为实质性条款，若</w:t>
            </w:r>
            <w:r>
              <w:rPr>
                <w:rFonts w:hint="eastAsia" w:ascii="Times New Roman" w:hAnsi="Times New Roman" w:eastAsia="宋体" w:cs="Tahoma"/>
                <w:color w:val="000000"/>
                <w:kern w:val="28"/>
                <w:sz w:val="24"/>
                <w:lang w:val="en-US" w:eastAsia="zh-CN"/>
              </w:rPr>
              <w:t>未进行响应或</w:t>
            </w:r>
            <w:r>
              <w:rPr>
                <w:rFonts w:hint="eastAsia" w:ascii="Times New Roman" w:hAnsi="Times New Roman" w:eastAsia="宋体" w:cs="Tahoma"/>
                <w:color w:val="000000"/>
                <w:kern w:val="28"/>
                <w:sz w:val="24"/>
              </w:rPr>
              <w:t>有任何一条负偏离或不满足则导致</w:t>
            </w:r>
            <w:r>
              <w:rPr>
                <w:rFonts w:hint="eastAsia" w:ascii="Times New Roman" w:hAnsi="Times New Roman" w:eastAsia="宋体" w:cs="Tahoma"/>
                <w:color w:val="000000"/>
                <w:kern w:val="28"/>
                <w:sz w:val="24"/>
                <w:lang w:val="en-US" w:eastAsia="zh-CN"/>
              </w:rPr>
              <w:t>本项目响应</w:t>
            </w:r>
            <w:r>
              <w:rPr>
                <w:rFonts w:hint="eastAsia" w:ascii="Times New Roman" w:hAnsi="Times New Roman" w:eastAsia="宋体" w:cs="Tahoma"/>
                <w:color w:val="000000"/>
                <w:kern w:val="28"/>
                <w:sz w:val="24"/>
              </w:rPr>
              <w:t>无效。</w:t>
            </w:r>
            <w:r>
              <w:rPr>
                <w:rFonts w:hint="eastAsia" w:ascii="Times New Roman" w:hAnsi="Times New Roman" w:eastAsia="宋体" w:cs="Tahoma"/>
                <w:color w:val="000000"/>
                <w:kern w:val="28"/>
                <w:sz w:val="24"/>
                <w:lang w:val="en-US" w:eastAsia="zh-CN"/>
              </w:rPr>
              <w:t>若本项目非“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”号条款提及需提供承诺函的须提供相关承诺函。</w:t>
            </w:r>
            <w:r>
              <w:rPr>
                <w:rFonts w:hint="eastAsia" w:ascii="Times New Roman" w:hAnsi="Times New Roman" w:eastAsia="宋体" w:cs="Tahoma"/>
                <w:color w:val="000000"/>
                <w:kern w:val="28"/>
                <w:sz w:val="24"/>
              </w:rPr>
              <w:t>】</w:t>
            </w:r>
          </w:p>
        </w:tc>
      </w:tr>
    </w:tbl>
    <w:p w14:paraId="7EBEFDA0">
      <w:pPr>
        <w:pStyle w:val="41"/>
        <w:spacing w:line="360" w:lineRule="auto"/>
        <w:rPr>
          <w:rFonts w:hint="eastAsia" w:cs="Tahoma"/>
          <w:b/>
          <w:kern w:val="28"/>
          <w:szCs w:val="24"/>
          <w:highlight w:val="none"/>
        </w:rPr>
      </w:pPr>
    </w:p>
    <w:p w14:paraId="5C8C7002">
      <w:pPr>
        <w:pStyle w:val="41"/>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1"/>
        <w:spacing w:line="360" w:lineRule="auto"/>
        <w:rPr>
          <w:rFonts w:cs="Tahoma"/>
          <w:kern w:val="28"/>
          <w:szCs w:val="24"/>
          <w:highlight w:val="none"/>
        </w:rPr>
      </w:pPr>
      <w:r>
        <w:rPr>
          <w:rFonts w:hint="eastAsia" w:cs="Tahoma"/>
          <w:kern w:val="28"/>
          <w:szCs w:val="24"/>
          <w:highlight w:val="none"/>
        </w:rPr>
        <w:t>1.报名截止后，采购人会根据报名情况及时组织院内</w:t>
      </w:r>
      <w:r>
        <w:rPr>
          <w:rFonts w:hint="eastAsia" w:cs="Tahoma"/>
          <w:kern w:val="28"/>
          <w:szCs w:val="24"/>
          <w:highlight w:val="none"/>
          <w:lang w:val="en-US" w:eastAsia="zh-CN"/>
        </w:rPr>
        <w:t>遴选</w:t>
      </w:r>
      <w:r>
        <w:rPr>
          <w:rFonts w:hint="eastAsia" w:cs="Tahoma"/>
          <w:kern w:val="28"/>
          <w:szCs w:val="24"/>
          <w:highlight w:val="none"/>
        </w:rPr>
        <w:t>会议。</w:t>
      </w:r>
    </w:p>
    <w:p w14:paraId="001A4D22">
      <w:pPr>
        <w:pStyle w:val="41"/>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41"/>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41"/>
        <w:spacing w:line="360" w:lineRule="auto"/>
        <w:ind w:firstLine="480" w:firstLineChars="200"/>
        <w:rPr>
          <w:rFonts w:hint="eastAsia" w:cs="Tahoma"/>
          <w:b/>
          <w:bCs/>
          <w:color w:val="000000"/>
          <w:kern w:val="28"/>
          <w:szCs w:val="24"/>
          <w:highlight w:val="yellow"/>
        </w:rPr>
      </w:pPr>
      <w:r>
        <w:rPr>
          <w:rFonts w:hint="eastAsia" w:cs="Tahoma"/>
          <w:b/>
          <w:bCs/>
          <w:color w:val="000000"/>
          <w:kern w:val="28"/>
          <w:szCs w:val="24"/>
          <w:highlight w:val="yellow"/>
        </w:rPr>
        <w:t>报名截止时间：202</w:t>
      </w:r>
      <w:r>
        <w:rPr>
          <w:rFonts w:hint="eastAsia" w:cs="Tahoma"/>
          <w:b/>
          <w:bCs/>
          <w:color w:val="000000"/>
          <w:kern w:val="28"/>
          <w:szCs w:val="24"/>
          <w:highlight w:val="yellow"/>
          <w:lang w:val="en-US" w:eastAsia="zh-CN"/>
        </w:rPr>
        <w:t>6</w:t>
      </w:r>
      <w:r>
        <w:rPr>
          <w:rFonts w:hint="eastAsia" w:cs="Tahoma"/>
          <w:b/>
          <w:bCs/>
          <w:color w:val="000000"/>
          <w:kern w:val="28"/>
          <w:szCs w:val="24"/>
          <w:highlight w:val="yellow"/>
        </w:rPr>
        <w:t>年</w:t>
      </w:r>
      <w:r>
        <w:rPr>
          <w:rFonts w:hint="eastAsia" w:cs="Tahoma"/>
          <w:b/>
          <w:bCs/>
          <w:color w:val="000000"/>
          <w:kern w:val="28"/>
          <w:szCs w:val="24"/>
          <w:highlight w:val="yellow"/>
          <w:lang w:val="en-US" w:eastAsia="zh-CN"/>
        </w:rPr>
        <w:t>7</w:t>
      </w:r>
      <w:r>
        <w:rPr>
          <w:rFonts w:hint="eastAsia" w:cs="Tahoma"/>
          <w:b/>
          <w:bCs/>
          <w:color w:val="000000"/>
          <w:kern w:val="28"/>
          <w:szCs w:val="24"/>
          <w:highlight w:val="yellow"/>
        </w:rPr>
        <w:t>月</w:t>
      </w:r>
      <w:r>
        <w:rPr>
          <w:rFonts w:hint="eastAsia" w:cs="Tahoma"/>
          <w:b/>
          <w:bCs/>
          <w:color w:val="000000"/>
          <w:kern w:val="28"/>
          <w:szCs w:val="24"/>
          <w:highlight w:val="yellow"/>
          <w:lang w:val="en-US" w:eastAsia="zh-CN"/>
        </w:rPr>
        <w:t>17</w:t>
      </w:r>
      <w:r>
        <w:rPr>
          <w:rFonts w:hint="eastAsia" w:cs="Tahoma"/>
          <w:b/>
          <w:bCs/>
          <w:color w:val="000000"/>
          <w:kern w:val="28"/>
          <w:szCs w:val="24"/>
          <w:highlight w:val="yellow"/>
        </w:rPr>
        <w:t>日至202</w:t>
      </w:r>
      <w:r>
        <w:rPr>
          <w:rFonts w:hint="eastAsia" w:cs="Tahoma"/>
          <w:b/>
          <w:bCs/>
          <w:color w:val="000000"/>
          <w:kern w:val="28"/>
          <w:szCs w:val="24"/>
          <w:highlight w:val="yellow"/>
          <w:lang w:val="en-US" w:eastAsia="zh-CN"/>
        </w:rPr>
        <w:t>6</w:t>
      </w:r>
      <w:r>
        <w:rPr>
          <w:rFonts w:hint="eastAsia" w:cs="Tahoma"/>
          <w:b/>
          <w:bCs/>
          <w:color w:val="000000"/>
          <w:kern w:val="28"/>
          <w:szCs w:val="24"/>
          <w:highlight w:val="yellow"/>
        </w:rPr>
        <w:t>年</w:t>
      </w:r>
      <w:r>
        <w:rPr>
          <w:rFonts w:hint="eastAsia" w:cs="Tahoma"/>
          <w:b/>
          <w:bCs/>
          <w:color w:val="000000"/>
          <w:kern w:val="28"/>
          <w:szCs w:val="24"/>
          <w:highlight w:val="yellow"/>
          <w:lang w:val="en-US" w:eastAsia="zh-CN"/>
        </w:rPr>
        <w:t>7</w:t>
      </w:r>
      <w:r>
        <w:rPr>
          <w:rFonts w:hint="eastAsia" w:cs="Tahoma"/>
          <w:b/>
          <w:bCs/>
          <w:color w:val="000000"/>
          <w:kern w:val="28"/>
          <w:szCs w:val="24"/>
          <w:highlight w:val="yellow"/>
        </w:rPr>
        <w:t>月</w:t>
      </w:r>
      <w:r>
        <w:rPr>
          <w:rFonts w:hint="eastAsia" w:cs="Tahoma"/>
          <w:b/>
          <w:bCs/>
          <w:color w:val="000000"/>
          <w:kern w:val="28"/>
          <w:szCs w:val="24"/>
          <w:highlight w:val="yellow"/>
          <w:lang w:val="en-US" w:eastAsia="zh-CN"/>
        </w:rPr>
        <w:t>20</w:t>
      </w:r>
      <w:r>
        <w:rPr>
          <w:rFonts w:hint="eastAsia" w:cs="Tahoma"/>
          <w:b/>
          <w:bCs/>
          <w:color w:val="000000"/>
          <w:kern w:val="28"/>
          <w:szCs w:val="24"/>
          <w:highlight w:val="yellow"/>
        </w:rPr>
        <w:t>日17：30</w:t>
      </w:r>
    </w:p>
    <w:p w14:paraId="6CF29CF5">
      <w:pPr>
        <w:pStyle w:val="41"/>
        <w:spacing w:line="360" w:lineRule="auto"/>
        <w:ind w:firstLine="480" w:firstLineChars="200"/>
        <w:rPr>
          <w:rFonts w:hint="eastAsia" w:cs="Tahoma"/>
          <w:b/>
          <w:bCs/>
          <w:color w:val="000000"/>
          <w:kern w:val="28"/>
          <w:szCs w:val="24"/>
          <w:highlight w:val="yellow"/>
        </w:rPr>
      </w:pPr>
      <w:r>
        <w:rPr>
          <w:rFonts w:hint="eastAsia" w:cs="Tahoma"/>
          <w:b/>
          <w:bCs/>
          <w:color w:val="000000"/>
          <w:kern w:val="28"/>
          <w:szCs w:val="24"/>
          <w:highlight w:val="yellow"/>
        </w:rPr>
        <w:t>提交文件截止时间：202</w:t>
      </w:r>
      <w:r>
        <w:rPr>
          <w:rFonts w:hint="eastAsia" w:cs="Tahoma"/>
          <w:b/>
          <w:bCs/>
          <w:color w:val="000000"/>
          <w:kern w:val="28"/>
          <w:szCs w:val="24"/>
          <w:highlight w:val="yellow"/>
          <w:lang w:val="en-US" w:eastAsia="zh-CN"/>
        </w:rPr>
        <w:t>6</w:t>
      </w:r>
      <w:r>
        <w:rPr>
          <w:rFonts w:hint="eastAsia" w:cs="Tahoma"/>
          <w:b/>
          <w:bCs/>
          <w:color w:val="000000"/>
          <w:kern w:val="28"/>
          <w:szCs w:val="24"/>
          <w:highlight w:val="yellow"/>
        </w:rPr>
        <w:t>年</w:t>
      </w:r>
      <w:r>
        <w:rPr>
          <w:rFonts w:hint="eastAsia" w:cs="Tahoma"/>
          <w:b/>
          <w:bCs/>
          <w:color w:val="000000"/>
          <w:kern w:val="28"/>
          <w:szCs w:val="24"/>
          <w:highlight w:val="yellow"/>
          <w:lang w:val="en-US" w:eastAsia="zh-CN"/>
        </w:rPr>
        <w:t>7</w:t>
      </w:r>
      <w:r>
        <w:rPr>
          <w:rFonts w:hint="eastAsia" w:cs="Tahoma"/>
          <w:b/>
          <w:bCs/>
          <w:color w:val="000000"/>
          <w:kern w:val="28"/>
          <w:szCs w:val="24"/>
          <w:highlight w:val="yellow"/>
        </w:rPr>
        <w:t>月</w:t>
      </w:r>
      <w:r>
        <w:rPr>
          <w:rFonts w:hint="eastAsia" w:cs="Tahoma"/>
          <w:b/>
          <w:bCs/>
          <w:color w:val="000000"/>
          <w:kern w:val="28"/>
          <w:szCs w:val="24"/>
          <w:highlight w:val="yellow"/>
          <w:lang w:val="en-US" w:eastAsia="zh-CN"/>
        </w:rPr>
        <w:t>23</w:t>
      </w:r>
      <w:r>
        <w:rPr>
          <w:rFonts w:hint="eastAsia" w:cs="Tahoma"/>
          <w:b/>
          <w:bCs/>
          <w:color w:val="000000"/>
          <w:kern w:val="28"/>
          <w:szCs w:val="24"/>
          <w:highlight w:val="yellow"/>
        </w:rPr>
        <w:t>日</w:t>
      </w:r>
      <w:r>
        <w:rPr>
          <w:rFonts w:hint="eastAsia" w:cs="Tahoma"/>
          <w:b/>
          <w:bCs/>
          <w:color w:val="000000"/>
          <w:kern w:val="28"/>
          <w:szCs w:val="24"/>
          <w:highlight w:val="yellow"/>
          <w:lang w:val="en-US" w:eastAsia="zh-CN"/>
        </w:rPr>
        <w:t>9</w:t>
      </w:r>
      <w:r>
        <w:rPr>
          <w:rFonts w:hint="eastAsia" w:cs="Tahoma"/>
          <w:b/>
          <w:bCs/>
          <w:color w:val="000000"/>
          <w:kern w:val="28"/>
          <w:szCs w:val="24"/>
          <w:highlight w:val="yellow"/>
        </w:rPr>
        <w:t>：</w:t>
      </w:r>
      <w:r>
        <w:rPr>
          <w:rFonts w:hint="eastAsia" w:cs="Tahoma"/>
          <w:b/>
          <w:bCs/>
          <w:color w:val="000000"/>
          <w:kern w:val="28"/>
          <w:szCs w:val="24"/>
          <w:highlight w:val="yellow"/>
          <w:lang w:val="en-US" w:eastAsia="zh-CN"/>
        </w:rPr>
        <w:t>0</w:t>
      </w:r>
      <w:r>
        <w:rPr>
          <w:rFonts w:hint="eastAsia" w:cs="Tahoma"/>
          <w:b/>
          <w:bCs/>
          <w:color w:val="000000"/>
          <w:kern w:val="28"/>
          <w:szCs w:val="24"/>
          <w:highlight w:val="yellow"/>
        </w:rPr>
        <w:t>0</w:t>
      </w:r>
    </w:p>
    <w:p w14:paraId="40FA91DC">
      <w:pPr>
        <w:pStyle w:val="41"/>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w:t>
      </w:r>
      <w:r>
        <w:rPr>
          <w:rFonts w:hint="eastAsia" w:cs="Tahoma"/>
          <w:b/>
          <w:bCs/>
          <w:color w:val="000000"/>
          <w:kern w:val="28"/>
          <w:szCs w:val="24"/>
          <w:highlight w:val="none"/>
          <w:lang w:val="en-US" w:eastAsia="zh-CN"/>
        </w:rPr>
        <w:t>招标</w:t>
      </w:r>
      <w:r>
        <w:rPr>
          <w:rFonts w:hint="eastAsia" w:cs="Tahoma"/>
          <w:b/>
          <w:bCs/>
          <w:color w:val="000000"/>
          <w:kern w:val="28"/>
          <w:szCs w:val="24"/>
          <w:highlight w:val="none"/>
        </w:rPr>
        <w:t>采购办公室</w:t>
      </w:r>
    </w:p>
    <w:p w14:paraId="085AB013">
      <w:pPr>
        <w:pStyle w:val="41"/>
        <w:spacing w:line="360" w:lineRule="auto"/>
        <w:ind w:firstLine="480" w:firstLineChars="200"/>
        <w:jc w:val="center"/>
        <w:rPr>
          <w:rFonts w:hint="eastAsia" w:cs="Tahoma"/>
          <w:b/>
          <w:color w:val="000000"/>
          <w:kern w:val="28"/>
          <w:szCs w:val="24"/>
          <w:highlight w:val="none"/>
        </w:rPr>
      </w:pPr>
    </w:p>
    <w:p w14:paraId="196C51D3">
      <w:pPr>
        <w:pStyle w:val="41"/>
        <w:spacing w:line="360" w:lineRule="auto"/>
        <w:ind w:firstLine="480" w:firstLineChars="200"/>
        <w:jc w:val="center"/>
        <w:rPr>
          <w:rFonts w:hint="eastAsia" w:cs="Tahoma"/>
          <w:b/>
          <w:color w:val="000000"/>
          <w:kern w:val="28"/>
          <w:szCs w:val="24"/>
          <w:highlight w:val="none"/>
        </w:rPr>
      </w:pPr>
    </w:p>
    <w:p w14:paraId="44B249AD">
      <w:pPr>
        <w:pStyle w:val="41"/>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、项目需求内容</w:t>
      </w:r>
    </w:p>
    <w:p w14:paraId="1766F46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项目概况 </w:t>
      </w:r>
    </w:p>
    <w:p w14:paraId="3F7FACD6">
      <w:pPr>
        <w:jc w:val="left"/>
        <w:rPr>
          <w:rFonts w:hint="eastAsia" w:ascii="宋体" w:hAnsi="宋体" w:eastAsia="宋体" w:cs="宋体"/>
          <w:bCs/>
          <w:sz w:val="24"/>
          <w:szCs w:val="24"/>
          <w:lang w:val="en-US" w:eastAsia="zh-CN"/>
        </w:rPr>
      </w:pPr>
      <w:r>
        <w:rPr>
          <w:rFonts w:hint="default" w:ascii="宋体" w:hAnsi="宋体" w:eastAsia="宋体" w:cs="宋体"/>
          <w:bCs/>
          <w:sz w:val="24"/>
          <w:szCs w:val="24"/>
          <w:lang w:val="en-US" w:eastAsia="zh-CN"/>
        </w:rPr>
        <w:t>（一）</w:t>
      </w:r>
      <w:r>
        <w:rPr>
          <w:rFonts w:hint="eastAsia" w:ascii="宋体" w:hAnsi="宋体" w:eastAsia="宋体" w:cs="宋体"/>
          <w:bCs/>
          <w:sz w:val="24"/>
          <w:szCs w:val="24"/>
          <w:lang w:val="en-US" w:eastAsia="zh-CN"/>
        </w:rPr>
        <w:t>项目名称：中山市中医院全自动化学发光分析仪项目</w:t>
      </w:r>
    </w:p>
    <w:p w14:paraId="175D7763">
      <w:pPr>
        <w:jc w:val="left"/>
        <w:rPr>
          <w:rFonts w:hint="eastAsia" w:ascii="宋体" w:hAnsi="宋体" w:eastAsia="宋体" w:cs="宋体"/>
          <w:bCs/>
          <w:sz w:val="24"/>
          <w:szCs w:val="24"/>
          <w:lang w:val="en-US" w:eastAsia="zh-CN"/>
        </w:rPr>
      </w:pP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二</w:t>
      </w: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项目内容：适用于检测γ-干扰素(结核分枝杆菌特异性细胞免疫反应检测)，按照结核分枝杆菌特异抗原刺激细胞因子释放试验（250403090S）名称开展检验，预计年检测数量为3000人份。</w:t>
      </w:r>
    </w:p>
    <w:p w14:paraId="1E9650E9">
      <w:pPr>
        <w:jc w:val="left"/>
        <w:rPr>
          <w:rFonts w:hint="eastAsia" w:ascii="宋体" w:hAnsi="宋体" w:eastAsia="宋体" w:cs="宋体"/>
          <w:bCs/>
          <w:sz w:val="24"/>
          <w:szCs w:val="24"/>
          <w:lang w:val="en-US" w:eastAsia="zh-CN"/>
        </w:rPr>
      </w:pP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三</w:t>
      </w: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拟采购方式</w:t>
      </w:r>
    </w:p>
    <w:p w14:paraId="322FD1A8">
      <w:pPr>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供应商提供结核分枝杆菌特异抗原刺激细胞因子释放试验所需全部检验试剂、配套耗材、质控品、校准品及检测仪器。</w:t>
      </w:r>
    </w:p>
    <w:p w14:paraId="01EC1EA4">
      <w:pPr>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2.检验试剂、配套耗材、质控品、校准品等在广东省药品和医用耗材招采管理系统挂网的，与我院签订线上合同；未在广东省药品和医用耗材招采管理系统挂网的，与我院签订线下购销合同。</w:t>
      </w:r>
    </w:p>
    <w:p w14:paraId="2C7DE5E6">
      <w:pPr>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检测平台以租赁方式入院，租赁期限为5年，合同1年一签。</w:t>
      </w:r>
    </w:p>
    <w:p w14:paraId="65C5502A">
      <w:pPr>
        <w:jc w:val="left"/>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（四）拟中选供应商数量：1家。</w:t>
      </w:r>
    </w:p>
    <w:p w14:paraId="435D39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both"/>
        <w:textAlignment w:val="auto"/>
        <w:rPr>
          <w:rFonts w:hint="default" w:ascii="Times New Roman" w:hAnsi="Times New Roman" w:eastAsia="仿宋" w:cs="Times New Roman"/>
          <w:i w:val="0"/>
          <w:iCs w:val="0"/>
          <w:caps w:val="0"/>
          <w:color w:val="auto"/>
          <w:spacing w:val="0"/>
          <w:kern w:val="0"/>
          <w:sz w:val="28"/>
          <w:szCs w:val="28"/>
          <w:highlight w:val="none"/>
          <w:shd w:val="clear" w:fill="FFFFFF"/>
          <w:lang w:val="en-US" w:eastAsia="zh-CN" w:bidi="ar"/>
        </w:rPr>
      </w:pPr>
    </w:p>
    <w:p w14:paraId="7A256725">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技术要求</w:t>
      </w:r>
    </w:p>
    <w:p w14:paraId="0C0F8AC7">
      <w:pPr>
        <w:jc w:val="left"/>
        <w:rPr>
          <w:rFonts w:hint="eastAsia" w:ascii="宋体" w:hAnsi="宋体" w:eastAsia="宋体" w:cs="宋体"/>
          <w:b/>
          <w:sz w:val="24"/>
          <w:szCs w:val="24"/>
          <w:lang w:eastAsia="zh-CN"/>
        </w:rPr>
      </w:pPr>
      <w:r>
        <w:rPr>
          <w:rFonts w:hint="eastAsia" w:ascii="宋体" w:hAnsi="宋体" w:eastAsia="宋体" w:cs="宋体"/>
          <w:bCs/>
          <w:sz w:val="24"/>
          <w:szCs w:val="24"/>
        </w:rPr>
        <w:t>1</w:t>
      </w:r>
      <w:r>
        <w:rPr>
          <w:rFonts w:hint="eastAsia" w:ascii="宋体" w:hAnsi="宋体" w:cs="宋体"/>
          <w:bCs/>
          <w:sz w:val="24"/>
          <w:szCs w:val="24"/>
          <w:lang w:val="en-US" w:eastAsia="zh-CN"/>
        </w:rPr>
        <w:t>.</w:t>
      </w:r>
      <w:r>
        <w:rPr>
          <w:rFonts w:hint="eastAsia" w:ascii="宋体" w:hAnsi="宋体" w:eastAsia="宋体" w:cs="宋体"/>
          <w:bCs/>
          <w:sz w:val="24"/>
          <w:szCs w:val="24"/>
        </w:rPr>
        <w:t>▲设备采用化学发光法检测原理，定性、定量检测；支持夹心法、间接法、捕获法、竞争法等多种免疫分析方法；支持血清、血浆、尿液、唾液、痰液、脑脊液、肺泡灌洗液、拭子洗脱液等样本。</w:t>
      </w:r>
      <w:r>
        <w:rPr>
          <w:rFonts w:hint="eastAsia" w:ascii="宋体" w:hAnsi="宋体" w:cs="宋体"/>
          <w:bCs/>
          <w:sz w:val="24"/>
          <w:szCs w:val="24"/>
          <w:lang w:eastAsia="zh-CN"/>
        </w:rPr>
        <w:t>（</w:t>
      </w:r>
      <w:r>
        <w:rPr>
          <w:rFonts w:hint="eastAsia" w:ascii="宋体" w:hAnsi="宋体" w:cs="宋体"/>
          <w:bCs/>
          <w:sz w:val="24"/>
          <w:szCs w:val="24"/>
          <w:lang w:val="en-US" w:eastAsia="zh-CN"/>
        </w:rPr>
        <w:t>响应方式：</w:t>
      </w:r>
      <w:r>
        <w:rPr>
          <w:rFonts w:hint="eastAsia" w:ascii="宋体" w:hAnsi="宋体" w:cs="宋体"/>
          <w:bCs/>
          <w:sz w:val="24"/>
          <w:lang w:eastAsia="zh-CN"/>
        </w:rPr>
        <w:t>响应文件</w:t>
      </w:r>
      <w:r>
        <w:rPr>
          <w:rFonts w:hint="eastAsia" w:ascii="宋体" w:hAnsi="宋体" w:cs="宋体"/>
          <w:bCs/>
          <w:sz w:val="24"/>
        </w:rPr>
        <w:t>中提供产品说明书相关页或产品注册证相关页或技术白皮书相关页或产品彩页相关页或功能界面截图或实物图片或检测报告相关页等证明资料，并加盖</w:t>
      </w:r>
      <w:r>
        <w:rPr>
          <w:rFonts w:hint="eastAsia" w:ascii="宋体" w:hAnsi="宋体" w:cs="宋体"/>
          <w:bCs/>
          <w:sz w:val="24"/>
          <w:lang w:eastAsia="zh-CN"/>
        </w:rPr>
        <w:t>响应供应商</w:t>
      </w:r>
      <w:r>
        <w:rPr>
          <w:rFonts w:hint="eastAsia" w:ascii="宋体" w:hAnsi="宋体" w:cs="宋体"/>
          <w:bCs/>
          <w:sz w:val="24"/>
        </w:rPr>
        <w:t>单位公章</w:t>
      </w:r>
      <w:r>
        <w:rPr>
          <w:rFonts w:hint="eastAsia" w:ascii="宋体" w:hAnsi="宋体" w:cs="宋体"/>
          <w:bCs/>
          <w:sz w:val="24"/>
          <w:szCs w:val="24"/>
          <w:lang w:eastAsia="zh-CN"/>
        </w:rPr>
        <w:t>）</w:t>
      </w:r>
    </w:p>
    <w:p w14:paraId="053AAD0C">
      <w:pPr>
        <w:jc w:val="left"/>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w:t>
      </w:r>
      <w:r>
        <w:rPr>
          <w:rFonts w:hint="eastAsia" w:ascii="宋体" w:hAnsi="宋体" w:eastAsia="宋体" w:cs="宋体"/>
          <w:bCs/>
          <w:sz w:val="24"/>
          <w:szCs w:val="24"/>
        </w:rPr>
        <w:t>设备单机检测速度≥200测试/小时，具备急诊检测模式，急诊样本优先检测，结果出具时间≤15min。</w:t>
      </w:r>
    </w:p>
    <w:p w14:paraId="44F4DB8D">
      <w:pPr>
        <w:jc w:val="left"/>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val="en-US" w:eastAsia="zh-CN"/>
        </w:rPr>
        <w:t>.</w:t>
      </w:r>
      <w:r>
        <w:rPr>
          <w:rFonts w:hint="eastAsia" w:ascii="宋体" w:hAnsi="宋体" w:eastAsia="宋体" w:cs="宋体"/>
          <w:bCs/>
          <w:sz w:val="24"/>
          <w:szCs w:val="24"/>
        </w:rPr>
        <w:t>▲设备可根据后续检测需求拓展多个分析模块联机，可拓展分析模块≥2个。</w:t>
      </w:r>
      <w:r>
        <w:rPr>
          <w:rFonts w:hint="eastAsia" w:ascii="宋体" w:hAnsi="宋体" w:cs="宋体"/>
          <w:bCs/>
          <w:sz w:val="24"/>
          <w:szCs w:val="24"/>
          <w:lang w:eastAsia="zh-CN"/>
        </w:rPr>
        <w:t>（</w:t>
      </w:r>
      <w:r>
        <w:rPr>
          <w:rFonts w:hint="eastAsia" w:ascii="宋体" w:hAnsi="宋体" w:cs="宋体"/>
          <w:bCs/>
          <w:sz w:val="24"/>
          <w:szCs w:val="24"/>
          <w:lang w:val="en-US" w:eastAsia="zh-CN"/>
        </w:rPr>
        <w:t>响应方式：</w:t>
      </w:r>
      <w:r>
        <w:rPr>
          <w:rFonts w:hint="eastAsia" w:ascii="宋体" w:hAnsi="宋体" w:cs="宋体"/>
          <w:bCs/>
          <w:sz w:val="24"/>
          <w:szCs w:val="24"/>
          <w:lang w:eastAsia="zh-CN"/>
        </w:rPr>
        <w:t>响应文件</w:t>
      </w:r>
      <w:r>
        <w:rPr>
          <w:rFonts w:hint="eastAsia" w:ascii="宋体" w:hAnsi="宋体" w:eastAsia="宋体" w:cs="宋体"/>
          <w:bCs/>
          <w:sz w:val="24"/>
          <w:szCs w:val="24"/>
        </w:rPr>
        <w:t>中提供产品说明书相关页或产品注册证相关页或技术白皮书相关页或产品彩页相关页或功能界面截图或实物图片或检测报告相关页等证明资料，并加盖</w:t>
      </w:r>
      <w:r>
        <w:rPr>
          <w:rFonts w:hint="eastAsia" w:ascii="宋体" w:hAnsi="宋体" w:cs="宋体"/>
          <w:bCs/>
          <w:sz w:val="24"/>
          <w:szCs w:val="24"/>
          <w:lang w:eastAsia="zh-CN"/>
        </w:rPr>
        <w:t>响应供应商</w:t>
      </w:r>
      <w:r>
        <w:rPr>
          <w:rFonts w:hint="eastAsia" w:ascii="宋体" w:hAnsi="宋体" w:eastAsia="宋体" w:cs="宋体"/>
          <w:bCs/>
          <w:sz w:val="24"/>
          <w:szCs w:val="24"/>
        </w:rPr>
        <w:t>单位公章</w:t>
      </w:r>
      <w:r>
        <w:rPr>
          <w:rFonts w:hint="eastAsia" w:ascii="宋体" w:hAnsi="宋体" w:cs="宋体"/>
          <w:bCs/>
          <w:sz w:val="24"/>
          <w:szCs w:val="24"/>
          <w:lang w:eastAsia="zh-CN"/>
        </w:rPr>
        <w:t>）</w:t>
      </w:r>
    </w:p>
    <w:p w14:paraId="02AA881D">
      <w:pPr>
        <w:jc w:val="left"/>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val="en-US" w:eastAsia="zh-CN"/>
        </w:rPr>
        <w:t>.</w:t>
      </w:r>
      <w:r>
        <w:rPr>
          <w:rFonts w:hint="eastAsia" w:ascii="宋体" w:hAnsi="宋体" w:eastAsia="宋体" w:cs="宋体"/>
          <w:bCs/>
          <w:sz w:val="24"/>
          <w:szCs w:val="24"/>
        </w:rPr>
        <w:t>设备内置具备2–8℃冷藏功能的试剂仓，设备关机时试剂仓仍可保持冷藏功能，试剂位≥20个；每台设备检测反应位≥140个，可支持多项目同时检测。</w:t>
      </w:r>
    </w:p>
    <w:p w14:paraId="71A4966B">
      <w:pPr>
        <w:jc w:val="left"/>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val="en-US" w:eastAsia="zh-CN"/>
        </w:rPr>
        <w:t>.</w:t>
      </w:r>
      <w:r>
        <w:rPr>
          <w:rFonts w:hint="eastAsia" w:ascii="宋体" w:hAnsi="宋体" w:eastAsia="宋体" w:cs="宋体"/>
          <w:bCs/>
          <w:sz w:val="24"/>
          <w:szCs w:val="24"/>
        </w:rPr>
        <w:t>采用一次性反应杯及一次性吸头进行加样检测，减少样本携带污染和交叉污染风险。</w:t>
      </w:r>
    </w:p>
    <w:p w14:paraId="3877CD3E">
      <w:pPr>
        <w:jc w:val="left"/>
        <w:rPr>
          <w:rFonts w:hint="eastAsia" w:ascii="宋体" w:hAnsi="宋体" w:eastAsia="宋体" w:cs="宋体"/>
          <w:bCs/>
          <w:sz w:val="24"/>
          <w:szCs w:val="24"/>
        </w:rPr>
      </w:pPr>
      <w:r>
        <w:rPr>
          <w:rFonts w:hint="eastAsia" w:ascii="宋体" w:hAnsi="宋体" w:eastAsia="宋体" w:cs="宋体"/>
          <w:bCs/>
          <w:sz w:val="24"/>
          <w:szCs w:val="24"/>
        </w:rPr>
        <w:t>6</w:t>
      </w:r>
      <w:r>
        <w:rPr>
          <w:rFonts w:hint="eastAsia" w:ascii="宋体" w:hAnsi="宋体" w:cs="宋体"/>
          <w:bCs/>
          <w:sz w:val="24"/>
          <w:szCs w:val="24"/>
          <w:lang w:val="en-US" w:eastAsia="zh-CN"/>
        </w:rPr>
        <w:t>.</w:t>
      </w:r>
      <w:r>
        <w:rPr>
          <w:rFonts w:hint="eastAsia" w:ascii="宋体" w:hAnsi="宋体" w:eastAsia="宋体" w:cs="宋体"/>
          <w:bCs/>
          <w:sz w:val="24"/>
          <w:szCs w:val="24"/>
        </w:rPr>
        <w:t>设备检测全过程支持自动加样、自动混匀、自动孵育、自动清洗、自动检测和结果输出等功能，自动化运行，无需人工干预；支持不停机添加试剂、吸头、反应杯、辅助试剂等；支持样本自动重检、样本自动稀释检测。</w:t>
      </w:r>
    </w:p>
    <w:p w14:paraId="784E0B31">
      <w:pPr>
        <w:jc w:val="left"/>
        <w:rPr>
          <w:rFonts w:hint="eastAsia" w:ascii="宋体" w:hAnsi="宋体" w:eastAsia="宋体" w:cs="宋体"/>
          <w:bCs/>
          <w:sz w:val="24"/>
          <w:szCs w:val="24"/>
        </w:rPr>
      </w:pPr>
      <w:r>
        <w:rPr>
          <w:rFonts w:hint="eastAsia" w:ascii="宋体" w:hAnsi="宋体" w:eastAsia="宋体" w:cs="宋体"/>
          <w:bCs/>
          <w:sz w:val="24"/>
          <w:szCs w:val="24"/>
        </w:rPr>
        <w:t>7</w:t>
      </w:r>
      <w:r>
        <w:rPr>
          <w:rFonts w:hint="eastAsia" w:ascii="宋体" w:hAnsi="宋体" w:cs="宋体"/>
          <w:bCs/>
          <w:sz w:val="24"/>
          <w:szCs w:val="24"/>
          <w:lang w:val="en-US" w:eastAsia="zh-CN"/>
        </w:rPr>
        <w:t>.</w:t>
      </w:r>
      <w:r>
        <w:rPr>
          <w:rFonts w:hint="eastAsia" w:ascii="宋体" w:hAnsi="宋体" w:eastAsia="宋体" w:cs="宋体"/>
          <w:bCs/>
          <w:sz w:val="24"/>
          <w:szCs w:val="24"/>
        </w:rPr>
        <w:t>设备加样系统具备液面探测、样本凝块与气泡、探测、防撞保护等功能。</w:t>
      </w:r>
    </w:p>
    <w:p w14:paraId="05914164">
      <w:pPr>
        <w:jc w:val="left"/>
        <w:rPr>
          <w:rFonts w:hint="eastAsia" w:ascii="宋体" w:hAnsi="宋体" w:eastAsia="宋体" w:cs="宋体"/>
          <w:bCs/>
          <w:sz w:val="24"/>
          <w:szCs w:val="24"/>
        </w:rPr>
      </w:pPr>
      <w:r>
        <w:rPr>
          <w:rFonts w:hint="eastAsia" w:ascii="宋体" w:hAnsi="宋体" w:eastAsia="宋体" w:cs="宋体"/>
          <w:bCs/>
          <w:sz w:val="24"/>
          <w:szCs w:val="24"/>
        </w:rPr>
        <w:t>8</w:t>
      </w:r>
      <w:r>
        <w:rPr>
          <w:rFonts w:hint="eastAsia" w:ascii="宋体" w:hAnsi="宋体" w:cs="宋体"/>
          <w:bCs/>
          <w:sz w:val="24"/>
          <w:szCs w:val="24"/>
          <w:lang w:val="en-US" w:eastAsia="zh-CN"/>
        </w:rPr>
        <w:t>.</w:t>
      </w:r>
      <w:r>
        <w:rPr>
          <w:rFonts w:hint="eastAsia" w:ascii="宋体" w:hAnsi="宋体" w:eastAsia="宋体" w:cs="宋体"/>
          <w:bCs/>
          <w:sz w:val="24"/>
          <w:szCs w:val="24"/>
        </w:rPr>
        <w:t>样本加载支持原始采血管、样本杯等多种不同规格的样本容器；支持单个样本上机检测，也支持批量样本上机检测，批量上机样本数≥150个。</w:t>
      </w:r>
    </w:p>
    <w:p w14:paraId="76D3972E">
      <w:pPr>
        <w:jc w:val="left"/>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cs="宋体"/>
          <w:bCs/>
          <w:sz w:val="24"/>
          <w:szCs w:val="24"/>
          <w:lang w:val="en-US" w:eastAsia="zh-CN"/>
        </w:rPr>
        <w:t>.</w:t>
      </w:r>
      <w:r>
        <w:rPr>
          <w:rFonts w:hint="eastAsia" w:ascii="宋体" w:hAnsi="宋体" w:eastAsia="宋体" w:cs="宋体"/>
          <w:bCs/>
          <w:sz w:val="24"/>
          <w:szCs w:val="24"/>
        </w:rPr>
        <w:t>检测项目支持结核分枝杆菌特异性细胞免疫反应检测（IGRA），可拓展感染性疾病标志物等项目检测；检测项目需配套校准品、质控品，满足日常室内质量控制要求。</w:t>
      </w:r>
    </w:p>
    <w:p w14:paraId="66F7BDD0">
      <w:pPr>
        <w:jc w:val="left"/>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w:t>
      </w:r>
      <w:r>
        <w:rPr>
          <w:rFonts w:hint="eastAsia" w:ascii="宋体" w:hAnsi="宋体" w:eastAsia="宋体" w:cs="宋体"/>
          <w:bCs/>
          <w:sz w:val="24"/>
          <w:szCs w:val="24"/>
        </w:rPr>
        <w:t>设备具备中文操作系统，支持样本试管扫描条码识别，支持与LIS双向通讯对接。</w:t>
      </w:r>
    </w:p>
    <w:p w14:paraId="43C28B47">
      <w:pPr>
        <w:jc w:val="left"/>
        <w:rPr>
          <w:rFonts w:hint="eastAsia"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cs="宋体"/>
          <w:bCs/>
          <w:sz w:val="24"/>
          <w:szCs w:val="24"/>
          <w:lang w:val="en-US" w:eastAsia="zh-CN"/>
        </w:rPr>
        <w:t>.</w:t>
      </w:r>
      <w:r>
        <w:rPr>
          <w:rFonts w:hint="eastAsia" w:ascii="宋体" w:hAnsi="宋体" w:eastAsia="宋体" w:cs="宋体"/>
          <w:bCs/>
          <w:sz w:val="24"/>
          <w:szCs w:val="24"/>
        </w:rPr>
        <w:t>配置清单</w:t>
      </w:r>
    </w:p>
    <w:tbl>
      <w:tblPr>
        <w:tblStyle w:val="20"/>
        <w:tblW w:w="4998" w:type="pct"/>
        <w:jc w:val="center"/>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Layout w:type="autofit"/>
        <w:tblCellMar>
          <w:top w:w="0" w:type="dxa"/>
          <w:left w:w="108" w:type="dxa"/>
          <w:bottom w:w="0" w:type="dxa"/>
          <w:right w:w="108" w:type="dxa"/>
        </w:tblCellMar>
      </w:tblPr>
      <w:tblGrid>
        <w:gridCol w:w="1401"/>
        <w:gridCol w:w="5016"/>
        <w:gridCol w:w="1377"/>
        <w:gridCol w:w="1430"/>
      </w:tblGrid>
      <w:tr w14:paraId="56DBC71A">
        <w:tblPrEx>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CellMar>
            <w:top w:w="0" w:type="dxa"/>
            <w:left w:w="108" w:type="dxa"/>
            <w:bottom w:w="0" w:type="dxa"/>
            <w:right w:w="108" w:type="dxa"/>
          </w:tblCellMar>
        </w:tblPrEx>
        <w:trPr>
          <w:cantSplit/>
          <w:trHeight w:val="590" w:hRule="exact"/>
          <w:tblHeader/>
          <w:jc w:val="center"/>
        </w:trPr>
        <w:tc>
          <w:tcPr>
            <w:tcW w:w="759" w:type="pct"/>
            <w:vMerge w:val="restart"/>
            <w:tcMar>
              <w:top w:w="35" w:type="dxa"/>
              <w:left w:w="35" w:type="dxa"/>
              <w:bottom w:w="35" w:type="dxa"/>
              <w:right w:w="35" w:type="dxa"/>
            </w:tcMar>
            <w:vAlign w:val="center"/>
          </w:tcPr>
          <w:p w14:paraId="6E8B1570">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718" w:type="pct"/>
            <w:vMerge w:val="restart"/>
            <w:tcMar>
              <w:top w:w="35" w:type="dxa"/>
              <w:left w:w="35" w:type="dxa"/>
              <w:bottom w:w="35" w:type="dxa"/>
              <w:right w:w="35" w:type="dxa"/>
            </w:tcMar>
            <w:vAlign w:val="center"/>
          </w:tcPr>
          <w:p w14:paraId="331189B6">
            <w:pPr>
              <w:jc w:val="center"/>
              <w:rPr>
                <w:rFonts w:hint="eastAsia" w:ascii="宋体" w:hAnsi="宋体" w:eastAsia="宋体" w:cs="宋体"/>
                <w:bCs/>
                <w:sz w:val="24"/>
                <w:szCs w:val="24"/>
              </w:rPr>
            </w:pPr>
            <w:r>
              <w:rPr>
                <w:rFonts w:hint="eastAsia" w:ascii="宋体" w:hAnsi="宋体" w:eastAsia="宋体" w:cs="宋体"/>
                <w:bCs/>
                <w:sz w:val="24"/>
                <w:szCs w:val="24"/>
              </w:rPr>
              <w:t>名称</w:t>
            </w:r>
          </w:p>
        </w:tc>
        <w:tc>
          <w:tcPr>
            <w:tcW w:w="746" w:type="pct"/>
            <w:vMerge w:val="restart"/>
            <w:tcMar>
              <w:top w:w="35" w:type="dxa"/>
              <w:left w:w="35" w:type="dxa"/>
              <w:bottom w:w="35" w:type="dxa"/>
              <w:right w:w="35" w:type="dxa"/>
            </w:tcMar>
            <w:vAlign w:val="center"/>
          </w:tcPr>
          <w:p w14:paraId="4288D3E6">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775" w:type="pct"/>
            <w:vMerge w:val="restart"/>
            <w:tcMar>
              <w:top w:w="35" w:type="dxa"/>
              <w:left w:w="35" w:type="dxa"/>
              <w:bottom w:w="35" w:type="dxa"/>
              <w:right w:w="35" w:type="dxa"/>
            </w:tcMar>
            <w:vAlign w:val="center"/>
          </w:tcPr>
          <w:p w14:paraId="0EAF4052">
            <w:pPr>
              <w:jc w:val="center"/>
              <w:rPr>
                <w:rFonts w:hint="eastAsia" w:ascii="宋体" w:hAnsi="宋体" w:eastAsia="宋体" w:cs="宋体"/>
                <w:bCs/>
                <w:sz w:val="24"/>
                <w:szCs w:val="24"/>
              </w:rPr>
            </w:pPr>
            <w:r>
              <w:rPr>
                <w:rFonts w:hint="eastAsia" w:ascii="宋体" w:hAnsi="宋体" w:eastAsia="宋体" w:cs="宋体"/>
                <w:bCs/>
                <w:sz w:val="24"/>
                <w:szCs w:val="24"/>
              </w:rPr>
              <w:t>单位</w:t>
            </w:r>
          </w:p>
        </w:tc>
      </w:tr>
      <w:tr w14:paraId="6AA74AD8">
        <w:tblPrEx>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CellMar>
            <w:top w:w="0" w:type="dxa"/>
            <w:left w:w="108" w:type="dxa"/>
            <w:bottom w:w="0" w:type="dxa"/>
            <w:right w:w="108" w:type="dxa"/>
          </w:tblCellMar>
        </w:tblPrEx>
        <w:trPr>
          <w:cantSplit/>
          <w:trHeight w:val="312" w:hRule="exact"/>
          <w:tblHeader/>
          <w:jc w:val="center"/>
        </w:trPr>
        <w:tc>
          <w:tcPr>
            <w:tcW w:w="759" w:type="pct"/>
            <w:vMerge w:val="continue"/>
            <w:tcMar>
              <w:top w:w="35" w:type="dxa"/>
              <w:left w:w="35" w:type="dxa"/>
              <w:bottom w:w="35" w:type="dxa"/>
              <w:right w:w="35" w:type="dxa"/>
            </w:tcMar>
          </w:tcPr>
          <w:p w14:paraId="60A9FE05">
            <w:pPr>
              <w:jc w:val="center"/>
              <w:rPr>
                <w:rFonts w:hint="eastAsia" w:ascii="宋体" w:hAnsi="宋体" w:eastAsia="宋体" w:cs="宋体"/>
                <w:bCs/>
                <w:sz w:val="24"/>
                <w:szCs w:val="24"/>
              </w:rPr>
            </w:pPr>
          </w:p>
        </w:tc>
        <w:tc>
          <w:tcPr>
            <w:tcW w:w="2718" w:type="pct"/>
            <w:vMerge w:val="continue"/>
            <w:tcMar>
              <w:top w:w="35" w:type="dxa"/>
              <w:left w:w="35" w:type="dxa"/>
              <w:bottom w:w="35" w:type="dxa"/>
              <w:right w:w="35" w:type="dxa"/>
            </w:tcMar>
          </w:tcPr>
          <w:p w14:paraId="6F340476">
            <w:pPr>
              <w:jc w:val="center"/>
              <w:rPr>
                <w:rFonts w:hint="eastAsia" w:ascii="宋体" w:hAnsi="宋体" w:eastAsia="宋体" w:cs="宋体"/>
                <w:bCs/>
                <w:sz w:val="24"/>
                <w:szCs w:val="24"/>
              </w:rPr>
            </w:pPr>
          </w:p>
        </w:tc>
        <w:tc>
          <w:tcPr>
            <w:tcW w:w="746" w:type="pct"/>
            <w:vMerge w:val="continue"/>
            <w:tcMar>
              <w:top w:w="35" w:type="dxa"/>
              <w:left w:w="35" w:type="dxa"/>
              <w:bottom w:w="35" w:type="dxa"/>
              <w:right w:w="35" w:type="dxa"/>
            </w:tcMar>
          </w:tcPr>
          <w:p w14:paraId="5DF06391">
            <w:pPr>
              <w:jc w:val="center"/>
              <w:rPr>
                <w:rFonts w:hint="eastAsia" w:ascii="宋体" w:hAnsi="宋体" w:eastAsia="宋体" w:cs="宋体"/>
                <w:bCs/>
                <w:sz w:val="24"/>
                <w:szCs w:val="24"/>
              </w:rPr>
            </w:pPr>
          </w:p>
        </w:tc>
        <w:tc>
          <w:tcPr>
            <w:tcW w:w="775" w:type="pct"/>
            <w:vMerge w:val="continue"/>
            <w:tcMar>
              <w:top w:w="35" w:type="dxa"/>
              <w:left w:w="35" w:type="dxa"/>
              <w:bottom w:w="35" w:type="dxa"/>
              <w:right w:w="35" w:type="dxa"/>
            </w:tcMar>
          </w:tcPr>
          <w:p w14:paraId="02190080">
            <w:pPr>
              <w:jc w:val="center"/>
              <w:rPr>
                <w:rFonts w:hint="eastAsia" w:ascii="宋体" w:hAnsi="宋体" w:eastAsia="宋体" w:cs="宋体"/>
                <w:bCs/>
                <w:sz w:val="24"/>
                <w:szCs w:val="24"/>
              </w:rPr>
            </w:pPr>
          </w:p>
        </w:tc>
      </w:tr>
      <w:tr w14:paraId="05083285">
        <w:tblPrEx>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CellMar>
            <w:top w:w="0" w:type="dxa"/>
            <w:left w:w="108" w:type="dxa"/>
            <w:bottom w:w="0" w:type="dxa"/>
            <w:right w:w="108" w:type="dxa"/>
          </w:tblCellMar>
        </w:tblPrEx>
        <w:trPr>
          <w:cantSplit/>
          <w:trHeight w:val="890" w:hRule="exact"/>
          <w:jc w:val="center"/>
        </w:trPr>
        <w:tc>
          <w:tcPr>
            <w:tcW w:w="759" w:type="pct"/>
            <w:tcMar>
              <w:top w:w="35" w:type="dxa"/>
              <w:left w:w="35" w:type="dxa"/>
              <w:bottom w:w="35" w:type="dxa"/>
              <w:right w:w="35" w:type="dxa"/>
            </w:tcMar>
            <w:vAlign w:val="center"/>
          </w:tcPr>
          <w:p w14:paraId="4488825A">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718" w:type="pct"/>
            <w:tcMar>
              <w:top w:w="35" w:type="dxa"/>
              <w:left w:w="35" w:type="dxa"/>
              <w:bottom w:w="35" w:type="dxa"/>
              <w:right w:w="35" w:type="dxa"/>
            </w:tcMar>
            <w:vAlign w:val="center"/>
          </w:tcPr>
          <w:p w14:paraId="35035E86">
            <w:pPr>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全自动化学发光免疫分析仪</w:t>
            </w:r>
          </w:p>
          <w:p w14:paraId="1F91F035">
            <w:pPr>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（含进样单元及辅助配件）</w:t>
            </w:r>
          </w:p>
        </w:tc>
        <w:tc>
          <w:tcPr>
            <w:tcW w:w="746" w:type="pct"/>
            <w:tcMar>
              <w:top w:w="35" w:type="dxa"/>
              <w:left w:w="35" w:type="dxa"/>
              <w:bottom w:w="35" w:type="dxa"/>
              <w:right w:w="35" w:type="dxa"/>
            </w:tcMar>
            <w:vAlign w:val="center"/>
          </w:tcPr>
          <w:p w14:paraId="323C21DE">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75" w:type="pct"/>
            <w:tcMar>
              <w:top w:w="35" w:type="dxa"/>
              <w:left w:w="35" w:type="dxa"/>
              <w:bottom w:w="35" w:type="dxa"/>
              <w:right w:w="35" w:type="dxa"/>
            </w:tcMar>
            <w:vAlign w:val="center"/>
          </w:tcPr>
          <w:p w14:paraId="2A52F9C5">
            <w:pPr>
              <w:jc w:val="center"/>
              <w:rPr>
                <w:rFonts w:hint="eastAsia" w:ascii="宋体" w:hAnsi="宋体" w:eastAsia="宋体" w:cs="宋体"/>
                <w:bCs/>
                <w:sz w:val="24"/>
                <w:szCs w:val="24"/>
              </w:rPr>
            </w:pPr>
            <w:r>
              <w:rPr>
                <w:rFonts w:hint="eastAsia" w:ascii="宋体" w:hAnsi="宋体" w:eastAsia="宋体" w:cs="宋体"/>
                <w:bCs/>
                <w:sz w:val="24"/>
                <w:szCs w:val="24"/>
              </w:rPr>
              <w:t>台</w:t>
            </w:r>
          </w:p>
        </w:tc>
      </w:tr>
      <w:tr w14:paraId="5896F853">
        <w:tblPrEx>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CellMar>
            <w:top w:w="0" w:type="dxa"/>
            <w:left w:w="108" w:type="dxa"/>
            <w:bottom w:w="0" w:type="dxa"/>
            <w:right w:w="108" w:type="dxa"/>
          </w:tblCellMar>
        </w:tblPrEx>
        <w:trPr>
          <w:cantSplit/>
          <w:trHeight w:val="829" w:hRule="exact"/>
          <w:jc w:val="center"/>
        </w:trPr>
        <w:tc>
          <w:tcPr>
            <w:tcW w:w="759" w:type="pct"/>
            <w:tcMar>
              <w:top w:w="35" w:type="dxa"/>
              <w:left w:w="35" w:type="dxa"/>
              <w:bottom w:w="35" w:type="dxa"/>
              <w:right w:w="35" w:type="dxa"/>
            </w:tcMar>
            <w:vAlign w:val="center"/>
          </w:tcPr>
          <w:p w14:paraId="49F0C75A">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718" w:type="pct"/>
            <w:tcMar>
              <w:top w:w="35" w:type="dxa"/>
              <w:left w:w="35" w:type="dxa"/>
              <w:bottom w:w="35" w:type="dxa"/>
              <w:right w:w="35" w:type="dxa"/>
            </w:tcMar>
            <w:vAlign w:val="center"/>
          </w:tcPr>
          <w:p w14:paraId="77EC1765">
            <w:pPr>
              <w:jc w:val="center"/>
              <w:rPr>
                <w:rFonts w:hint="eastAsia" w:ascii="宋体" w:hAnsi="宋体" w:eastAsia="宋体" w:cs="宋体"/>
                <w:bCs/>
                <w:sz w:val="24"/>
                <w:szCs w:val="24"/>
              </w:rPr>
            </w:pPr>
            <w:r>
              <w:rPr>
                <w:rFonts w:hint="eastAsia" w:ascii="宋体" w:hAnsi="宋体" w:eastAsia="宋体" w:cs="宋体"/>
                <w:bCs/>
                <w:sz w:val="24"/>
                <w:szCs w:val="24"/>
              </w:rPr>
              <w:t>工作站</w:t>
            </w:r>
          </w:p>
        </w:tc>
        <w:tc>
          <w:tcPr>
            <w:tcW w:w="746" w:type="pct"/>
            <w:tcMar>
              <w:top w:w="35" w:type="dxa"/>
              <w:left w:w="35" w:type="dxa"/>
              <w:bottom w:w="35" w:type="dxa"/>
              <w:right w:w="35" w:type="dxa"/>
            </w:tcMar>
            <w:vAlign w:val="center"/>
          </w:tcPr>
          <w:p w14:paraId="0A803CC3">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75" w:type="pct"/>
            <w:tcMar>
              <w:top w:w="35" w:type="dxa"/>
              <w:left w:w="35" w:type="dxa"/>
              <w:bottom w:w="35" w:type="dxa"/>
              <w:right w:w="35" w:type="dxa"/>
            </w:tcMar>
            <w:vAlign w:val="center"/>
          </w:tcPr>
          <w:p w14:paraId="332F33D0">
            <w:pPr>
              <w:jc w:val="center"/>
              <w:rPr>
                <w:rFonts w:hint="eastAsia" w:ascii="宋体" w:hAnsi="宋体" w:eastAsia="宋体" w:cs="宋体"/>
                <w:bCs/>
                <w:sz w:val="24"/>
                <w:szCs w:val="24"/>
              </w:rPr>
            </w:pPr>
            <w:r>
              <w:rPr>
                <w:rFonts w:hint="eastAsia" w:ascii="宋体" w:hAnsi="宋体" w:eastAsia="宋体" w:cs="宋体"/>
                <w:bCs/>
                <w:sz w:val="24"/>
                <w:szCs w:val="24"/>
              </w:rPr>
              <w:t>套</w:t>
            </w:r>
          </w:p>
        </w:tc>
      </w:tr>
      <w:tr w14:paraId="0DE5F533">
        <w:tblPrEx>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CellMar>
            <w:top w:w="0" w:type="dxa"/>
            <w:left w:w="108" w:type="dxa"/>
            <w:bottom w:w="0" w:type="dxa"/>
            <w:right w:w="108" w:type="dxa"/>
          </w:tblCellMar>
        </w:tblPrEx>
        <w:trPr>
          <w:cantSplit/>
          <w:trHeight w:val="1332" w:hRule="exact"/>
          <w:jc w:val="center"/>
        </w:trPr>
        <w:tc>
          <w:tcPr>
            <w:tcW w:w="759" w:type="pct"/>
            <w:tcMar>
              <w:top w:w="35" w:type="dxa"/>
              <w:left w:w="35" w:type="dxa"/>
              <w:bottom w:w="35" w:type="dxa"/>
              <w:right w:w="35" w:type="dxa"/>
            </w:tcMar>
            <w:vAlign w:val="center"/>
          </w:tcPr>
          <w:p w14:paraId="53B8A226">
            <w:pPr>
              <w:jc w:val="center"/>
              <w:rPr>
                <w:rFonts w:hint="eastAsia" w:ascii="宋体" w:hAnsi="宋体" w:eastAsia="宋体" w:cs="宋体"/>
                <w:bCs/>
                <w:sz w:val="24"/>
                <w:szCs w:val="24"/>
                <w:highlight w:val="yellow"/>
              </w:rPr>
            </w:pPr>
            <w:r>
              <w:rPr>
                <w:rFonts w:hint="eastAsia" w:ascii="宋体" w:hAnsi="宋体" w:eastAsia="宋体" w:cs="宋体"/>
                <w:bCs/>
                <w:sz w:val="24"/>
                <w:szCs w:val="24"/>
              </w:rPr>
              <w:t>3</w:t>
            </w:r>
          </w:p>
        </w:tc>
        <w:tc>
          <w:tcPr>
            <w:tcW w:w="2718" w:type="pct"/>
            <w:tcMar>
              <w:top w:w="35" w:type="dxa"/>
              <w:left w:w="35" w:type="dxa"/>
              <w:bottom w:w="35" w:type="dxa"/>
              <w:right w:w="35" w:type="dxa"/>
            </w:tcMar>
            <w:vAlign w:val="center"/>
          </w:tcPr>
          <w:p w14:paraId="1C4BB139">
            <w:pPr>
              <w:jc w:val="center"/>
              <w:rPr>
                <w:rFonts w:hint="eastAsia" w:ascii="宋体" w:hAnsi="宋体" w:eastAsia="宋体" w:cs="宋体"/>
                <w:bCs/>
                <w:sz w:val="24"/>
                <w:szCs w:val="24"/>
              </w:rPr>
            </w:pPr>
            <w:r>
              <w:rPr>
                <w:rFonts w:hint="eastAsia" w:ascii="宋体" w:hAnsi="宋体" w:eastAsia="宋体" w:cs="宋体"/>
                <w:bCs/>
                <w:sz w:val="24"/>
                <w:szCs w:val="24"/>
              </w:rPr>
              <w:t>样本架</w:t>
            </w:r>
          </w:p>
          <w:p w14:paraId="09F93A14">
            <w:pPr>
              <w:jc w:val="center"/>
              <w:rPr>
                <w:rFonts w:hint="eastAsia" w:ascii="宋体" w:hAnsi="宋体" w:eastAsia="宋体" w:cs="宋体"/>
                <w:bCs/>
                <w:sz w:val="24"/>
                <w:szCs w:val="24"/>
              </w:rPr>
            </w:pPr>
            <w:r>
              <w:rPr>
                <w:rFonts w:hint="eastAsia" w:ascii="宋体" w:hAnsi="宋体" w:eastAsia="宋体" w:cs="宋体"/>
                <w:bCs/>
                <w:sz w:val="24"/>
                <w:szCs w:val="24"/>
              </w:rPr>
              <w:t>(适用样本、校准品、质控品)</w:t>
            </w:r>
          </w:p>
        </w:tc>
        <w:tc>
          <w:tcPr>
            <w:tcW w:w="746" w:type="pct"/>
            <w:tcMar>
              <w:top w:w="35" w:type="dxa"/>
              <w:left w:w="35" w:type="dxa"/>
              <w:bottom w:w="35" w:type="dxa"/>
              <w:right w:w="35" w:type="dxa"/>
            </w:tcMar>
            <w:vAlign w:val="center"/>
          </w:tcPr>
          <w:p w14:paraId="76E4259D">
            <w:pPr>
              <w:jc w:val="center"/>
              <w:rPr>
                <w:rFonts w:hint="eastAsia" w:ascii="宋体" w:hAnsi="宋体" w:eastAsia="宋体" w:cs="宋体"/>
                <w:bCs/>
                <w:sz w:val="24"/>
                <w:szCs w:val="24"/>
              </w:rPr>
            </w:pPr>
            <w:r>
              <w:rPr>
                <w:rFonts w:hint="eastAsia" w:ascii="宋体" w:hAnsi="宋体" w:eastAsia="宋体" w:cs="宋体"/>
                <w:bCs/>
                <w:sz w:val="24"/>
                <w:szCs w:val="24"/>
              </w:rPr>
              <w:t>40</w:t>
            </w:r>
          </w:p>
        </w:tc>
        <w:tc>
          <w:tcPr>
            <w:tcW w:w="775" w:type="pct"/>
            <w:tcMar>
              <w:top w:w="35" w:type="dxa"/>
              <w:left w:w="35" w:type="dxa"/>
              <w:bottom w:w="35" w:type="dxa"/>
              <w:right w:w="35" w:type="dxa"/>
            </w:tcMar>
            <w:vAlign w:val="center"/>
          </w:tcPr>
          <w:p w14:paraId="3AC9B41A">
            <w:pPr>
              <w:jc w:val="center"/>
              <w:rPr>
                <w:rFonts w:hint="eastAsia" w:ascii="宋体" w:hAnsi="宋体" w:eastAsia="宋体" w:cs="宋体"/>
                <w:bCs/>
                <w:sz w:val="24"/>
                <w:szCs w:val="24"/>
              </w:rPr>
            </w:pPr>
            <w:r>
              <w:rPr>
                <w:rFonts w:hint="eastAsia" w:ascii="宋体" w:hAnsi="宋体" w:eastAsia="宋体" w:cs="宋体"/>
                <w:bCs/>
                <w:sz w:val="24"/>
                <w:szCs w:val="24"/>
              </w:rPr>
              <w:t>个</w:t>
            </w:r>
          </w:p>
        </w:tc>
      </w:tr>
    </w:tbl>
    <w:p w14:paraId="7B5D2793">
      <w:pPr>
        <w:jc w:val="left"/>
        <w:rPr>
          <w:rFonts w:hint="eastAsia" w:asciiTheme="minorEastAsia" w:hAnsiTheme="minorEastAsia"/>
          <w:bCs/>
          <w:sz w:val="28"/>
          <w:szCs w:val="28"/>
        </w:rPr>
      </w:pPr>
    </w:p>
    <w:p w14:paraId="5196FDA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Theme="minorEastAsia" w:hAnsiTheme="minorEastAsia" w:eastAsiaTheme="minorEastAsia" w:cstheme="minorEastAsia"/>
          <w:color w:val="auto"/>
          <w:kern w:val="0"/>
          <w:sz w:val="24"/>
          <w:szCs w:val="24"/>
          <w:highlight w:val="none"/>
          <w:lang w:val="en-US" w:eastAsia="zh-CN"/>
        </w:rPr>
      </w:pPr>
    </w:p>
    <w:p w14:paraId="28E3B1D9">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三、商务要求</w:t>
      </w:r>
    </w:p>
    <w:p w14:paraId="4672DF95">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1.标的提供的时间：</w:t>
      </w:r>
    </w:p>
    <w:p w14:paraId="71252F44">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1.1与医院签订设备租赁合同及耗材采购合同后，供应商须再10个工作日内向中山市中医院提供耗材，设备及并组织安装、安装等。</w:t>
      </w:r>
    </w:p>
    <w:p w14:paraId="2D35A6B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1.2设备启用后第一个月为产品试用期，如在一个月内有多次不良反馈，厂家仍无法改善或供货期间发生不良事件经医院评估确认无法保障医疗质量安全的则甲方有权利单方终止合同。</w:t>
      </w:r>
    </w:p>
    <w:p w14:paraId="5DAB8BBF">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1.3供应商中选后，所供应产品的医疗器械注册证、规格型号等关键信息必须与遴选报名资料保持一致。</w:t>
      </w:r>
    </w:p>
    <w:p w14:paraId="1268E63D">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2.标的提供的地点：中山市中医院检验科</w:t>
      </w:r>
    </w:p>
    <w:p w14:paraId="04B632C9">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3.响应有效期：从提交响应（响应）文件的截止之日起30日历天。</w:t>
      </w:r>
    </w:p>
    <w:p w14:paraId="5F6E1EE3">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4.付款方式：</w:t>
      </w:r>
    </w:p>
    <w:p w14:paraId="704B0E3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4.1设备结算：设备租赁满一年后，中选人须提供合同、租赁验收报告、有效发票给采购人，采购人收到后于60天内支付合同总额的100%。</w:t>
      </w:r>
    </w:p>
    <w:p w14:paraId="5B29F608">
      <w:pP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4.2耗材结算：</w:t>
      </w:r>
    </w:p>
    <w:p w14:paraId="610B8841">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Theme="minorEastAsia" w:hAnsiTheme="minorEastAsia" w:eastAsiaTheme="minorEastAsia" w:cstheme="minorEastAsia"/>
          <w:color w:val="auto"/>
          <w:sz w:val="24"/>
          <w:szCs w:val="24"/>
          <w:highlight w:val="none"/>
          <w:lang w:val="en-US" w:eastAsia="zh-CN"/>
        </w:rPr>
        <w:t>4.2.1</w:t>
      </w:r>
      <w:r>
        <w:rPr>
          <w:rFonts w:hint="eastAsia" w:ascii="宋体" w:hAnsi="宋体" w:eastAsia="宋体" w:cs="Times New Roman"/>
          <w:color w:val="000000"/>
          <w:sz w:val="24"/>
          <w:shd w:val="clear" w:color="auto" w:fill="FFFFFF"/>
          <w:lang w:val="en-US" w:eastAsia="zh-CN"/>
        </w:rPr>
        <w:t>耗材</w:t>
      </w:r>
      <w:r>
        <w:rPr>
          <w:rFonts w:hint="eastAsia" w:ascii="宋体" w:hAnsi="宋体" w:eastAsia="宋体" w:cs="Times New Roman"/>
          <w:color w:val="000000"/>
          <w:sz w:val="24"/>
          <w:shd w:val="clear" w:color="auto" w:fill="FFFFFF"/>
        </w:rPr>
        <w:t>交易价格：按甲乙双方在交易平台达成的交易价格执行（具体见本合同附件之采购医用耗材明细表中的交易价），该价格包含耗材制造成本、运输、包装、附随服务等费用、税费及其他一切附加费用以及利润。</w:t>
      </w:r>
    </w:p>
    <w:p w14:paraId="5E9851B1">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lang w:val="en-US" w:eastAsia="zh-CN"/>
        </w:rPr>
        <w:t>4.2.2</w:t>
      </w:r>
      <w:r>
        <w:rPr>
          <w:rFonts w:hint="eastAsia" w:ascii="宋体" w:hAnsi="宋体" w:eastAsia="宋体" w:cs="Times New Roman"/>
          <w:color w:val="000000"/>
          <w:sz w:val="24"/>
          <w:shd w:val="clear" w:color="auto" w:fill="FFFFFF"/>
        </w:rPr>
        <w:t>本合同履行期间，如遇政策性调价，按政策规定的价格执行。</w:t>
      </w:r>
    </w:p>
    <w:p w14:paraId="4617E77C">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lang w:val="en-US" w:eastAsia="zh-CN"/>
        </w:rPr>
        <w:t>4.2.3</w:t>
      </w:r>
      <w:r>
        <w:rPr>
          <w:rFonts w:hint="eastAsia" w:ascii="宋体" w:hAnsi="宋体" w:eastAsia="宋体" w:cs="Times New Roman"/>
          <w:color w:val="000000"/>
          <w:sz w:val="24"/>
          <w:shd w:val="clear" w:color="auto" w:fill="FFFFFF"/>
        </w:rPr>
        <w:t>医用耗材送达交收地点后，甲方应按相关规定验收。甲方确认收货后，乙方应及时将发票送达甲方。甲方按院内流程办理发票付款。</w:t>
      </w:r>
    </w:p>
    <w:p w14:paraId="4095C4E7">
      <w:pPr>
        <w:spacing w:line="360" w:lineRule="auto"/>
        <w:ind w:firstLine="480" w:firstLineChars="200"/>
        <w:rPr>
          <w:rFonts w:hint="eastAsia"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lang w:val="en-US" w:eastAsia="zh-CN"/>
        </w:rPr>
        <w:t>4.2.4</w:t>
      </w:r>
      <w:r>
        <w:rPr>
          <w:rFonts w:hint="eastAsia" w:ascii="宋体" w:hAnsi="宋体" w:eastAsia="宋体" w:cs="Times New Roman"/>
          <w:color w:val="000000"/>
          <w:sz w:val="24"/>
          <w:shd w:val="clear" w:color="auto" w:fill="FFFFFF"/>
        </w:rPr>
        <w:t>结算时间：甲方在收到合法发票之日起最迟不得超过6个月进行交易价款结算</w:t>
      </w:r>
    </w:p>
    <w:p w14:paraId="1C36920A">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5.履约保证金：不收取。</w:t>
      </w:r>
    </w:p>
    <w:p w14:paraId="0B073EA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6.验收要求：</w:t>
      </w:r>
    </w:p>
    <w:p w14:paraId="5AE9C36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6.1验收方式：由采购人组织的项目验收小组进行验收。</w:t>
      </w:r>
    </w:p>
    <w:p w14:paraId="6A004C8E">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验收程序、验收时间、验收内容：中选人将所供产品运送至交货地点，采购人、中选人双方共同拆箱，中选人根据租赁合同产品安装调试完成并移交所有资料文档后，由采购人负责接收，中选人应向采购人提供全套的材料/检验产品合格证、使用说明书及其它技术资料。产品租赁满一年后，采购人、中选人双方共同签署租赁验收相关资料。</w:t>
      </w:r>
    </w:p>
    <w:p w14:paraId="0D534E5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验收标准：验收按国家有关的标准规定、规范进行。验收时如发现所租赁的设备有短装、次品、损坏或其它不符合本合同规定之情形者，采购人应做出详尽的现场记录，或由采购人、中选人双方签署备忘录。此现场记录或备忘录可用作补充、缺失和更换损坏部件的有效证据。由此产生的有关费用由中选人承担。</w:t>
      </w:r>
    </w:p>
    <w:p w14:paraId="3D69EBF4">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其他要求：如在租赁过程中发现产品达不到验收标准或合同及合同相关技术文件规定，中选人应及时安排更换，以保证合同产品最终达到合同或合同相关技术文件中规定的性能和要求。更换的相关费用由中选人承担并承担由此造成的一切损失。如中选人没有及时提供相关证件（如商检证等），有可能影响验收进程，所导致的经济损失，由中选人自行承担。</w:t>
      </w:r>
    </w:p>
    <w:p w14:paraId="1CB08006">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四、报价要求</w:t>
      </w:r>
    </w:p>
    <w:p w14:paraId="056B834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必须包含以下内容：设备5年租赁价格加预计5年耗材使用量价格（即15000人份*每人份检测所需耗材价格），其价格包含完成本合同约定所需的人工费、差旅（交通、住宿）费、餐费、专家费、保险、管理费、利润、税金等。如响应供应商漏报或不报，采购人将视为该漏报或不报部分的费用已包括在已报的报价中而不予支付。</w:t>
      </w:r>
    </w:p>
    <w:p w14:paraId="0222546B">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五、重要说明</w:t>
      </w:r>
    </w:p>
    <w:p w14:paraId="34310B94">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（一）如因国家、省、市相关政策发生变化（如医用耗材集中采购、医联体医用耗材联盟采购等）或不可抗力因素导致本项目无法继续执行，采购人不承担任何责任，供应商自行承担由此带来的任何风险及后果。</w:t>
      </w:r>
    </w:p>
    <w:p w14:paraId="4189E3CB">
      <w:pP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（二）本项目为报价分为耗材价格与设备租赁价格，耗材价格须包含租赁期间用于该检测项目所需的所有试剂、校准品、清洗液、质控品、反应杯等（各项均需单独报价）。</w:t>
      </w:r>
    </w:p>
    <w:p w14:paraId="29A3923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设备租赁价格包含设备安装、使用、维修养护、易损件更换、与我院lis系统对接（预计费用为8000元/台）、人力与技术支持等与本项目有关的一切费用。</w:t>
      </w:r>
    </w:p>
    <w:p w14:paraId="2EF648F7">
      <w:pP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（三）供应商所报租赁价格最高限价为10000元/年，试剂及配套耗材总费用限价为89.3元/人份，超出部分则视为无效报价。</w:t>
      </w:r>
    </w:p>
    <w:p w14:paraId="0702FF4D">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cs="Times New Roman"/>
          <w:bCs/>
          <w:szCs w:val="21"/>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四）采购人将定期对成交供应商的履约情况进行考核，如发现采购人实际每人份采购价格超出所报耗价格，采购人将对超出费用进行追缴，供应商须在接到采购人书面通知后7个工作日内将相关款项转入采购人指定账户，并对应下调相关耗材价格，否则，采购人有权终止项目合同，并由供应商承担违约责任（提供承诺函并加盖相应人公章，格式自拟）。</w:t>
      </w:r>
    </w:p>
    <w:p w14:paraId="7AD9D912">
      <w:pPr>
        <w:rPr>
          <w:rFonts w:hint="eastAsia"/>
          <w:b/>
          <w:sz w:val="36"/>
          <w:szCs w:val="36"/>
          <w:highlight w:val="none"/>
          <w:lang w:val="en-US" w:eastAsia="zh-CN"/>
        </w:rPr>
      </w:pP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41"/>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w:t>
      </w:r>
      <w:r>
        <w:rPr>
          <w:rFonts w:hint="eastAsia" w:cs="Tahoma"/>
          <w:b/>
          <w:color w:val="C00000"/>
          <w:kern w:val="28"/>
          <w:szCs w:val="24"/>
          <w:highlight w:val="none"/>
          <w:lang w:val="en-US" w:eastAsia="zh-CN"/>
        </w:rPr>
        <w:t>遴选</w:t>
      </w:r>
      <w:r>
        <w:rPr>
          <w:rFonts w:hint="eastAsia" w:cs="Tahoma"/>
          <w:b/>
          <w:color w:val="C00000"/>
          <w:kern w:val="28"/>
          <w:szCs w:val="24"/>
          <w:highlight w:val="none"/>
        </w:rPr>
        <w:t>活动采用综合评分法，技术商务分占</w:t>
      </w:r>
      <w:r>
        <w:rPr>
          <w:rFonts w:hint="eastAsia" w:cs="Tahoma"/>
          <w:b/>
          <w:color w:val="C00000"/>
          <w:kern w:val="28"/>
          <w:szCs w:val="24"/>
          <w:highlight w:val="none"/>
          <w:lang w:val="en-US" w:eastAsia="zh-CN"/>
        </w:rPr>
        <w:t>50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5</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41"/>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20"/>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供货能力</w:t>
            </w:r>
          </w:p>
        </w:tc>
        <w:tc>
          <w:tcPr>
            <w:tcW w:w="781" w:type="dxa"/>
            <w:noWrap w:val="0"/>
            <w:vAlign w:val="center"/>
          </w:tcPr>
          <w:p w14:paraId="3E5F12A4">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6</w:t>
            </w:r>
          </w:p>
        </w:tc>
        <w:tc>
          <w:tcPr>
            <w:tcW w:w="8552" w:type="dxa"/>
            <w:noWrap w:val="0"/>
            <w:vAlign w:val="center"/>
          </w:tcPr>
          <w:p w14:paraId="01970149">
            <w:pPr>
              <w:tabs>
                <w:tab w:val="decimal" w:pos="315"/>
                <w:tab w:val="left" w:pos="630"/>
              </w:tabs>
              <w:spacing w:line="360" w:lineRule="auto"/>
              <w:rPr>
                <w:rFonts w:hint="eastAsia" w:ascii="宋体" w:hAnsi="宋体" w:cs="宋体"/>
                <w:sz w:val="20"/>
                <w:szCs w:val="20"/>
                <w:highlight w:val="none"/>
                <w:lang w:val="en-US" w:eastAsia="zh-CN"/>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根据响应人提供的</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供货能力承诺函》进行评审：</w:t>
            </w:r>
          </w:p>
          <w:p w14:paraId="0757EB44">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cs="宋体"/>
                <w:sz w:val="20"/>
                <w:szCs w:val="20"/>
                <w:highlight w:val="none"/>
                <w:lang w:val="en-US" w:eastAsia="zh-CN"/>
              </w:rPr>
              <w:t>1.耗材</w:t>
            </w:r>
            <w:r>
              <w:rPr>
                <w:rFonts w:hint="eastAsia" w:ascii="宋体" w:hAnsi="宋体" w:eastAsia="宋体" w:cs="宋体"/>
                <w:kern w:val="2"/>
                <w:sz w:val="20"/>
                <w:szCs w:val="20"/>
                <w:highlight w:val="none"/>
                <w:lang w:val="en-US" w:eastAsia="zh-CN" w:bidi="ar-SA"/>
              </w:rPr>
              <w:t>具备中山市本地仓储或配送能力</w:t>
            </w:r>
            <w:r>
              <w:rPr>
                <w:rFonts w:hint="eastAsia" w:ascii="宋体" w:hAnsi="宋体" w:cs="宋体"/>
                <w:kern w:val="2"/>
                <w:sz w:val="20"/>
                <w:szCs w:val="20"/>
                <w:highlight w:val="none"/>
                <w:lang w:val="en-US" w:eastAsia="zh-CN" w:bidi="ar-SA"/>
              </w:rPr>
              <w:t>，得6</w:t>
            </w:r>
            <w:r>
              <w:rPr>
                <w:rFonts w:hint="eastAsia" w:ascii="宋体" w:hAnsi="宋体" w:eastAsia="宋体" w:cs="宋体"/>
                <w:kern w:val="2"/>
                <w:sz w:val="20"/>
                <w:szCs w:val="20"/>
                <w:highlight w:val="none"/>
                <w:lang w:val="en-US" w:eastAsia="zh-CN" w:bidi="ar-SA"/>
              </w:rPr>
              <w:t>分；</w:t>
            </w:r>
          </w:p>
          <w:p w14:paraId="6C5750CD">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cs="宋体"/>
                <w:kern w:val="2"/>
                <w:sz w:val="20"/>
                <w:szCs w:val="20"/>
                <w:highlight w:val="none"/>
                <w:lang w:val="en-US" w:eastAsia="zh-CN" w:bidi="ar-SA"/>
              </w:rPr>
              <w:t>2.</w:t>
            </w:r>
            <w:r>
              <w:rPr>
                <w:rFonts w:hint="eastAsia" w:ascii="宋体" w:hAnsi="宋体" w:cs="宋体"/>
                <w:sz w:val="20"/>
                <w:szCs w:val="20"/>
                <w:highlight w:val="none"/>
                <w:lang w:val="en-US" w:eastAsia="zh-CN"/>
              </w:rPr>
              <w:t>耗材</w:t>
            </w:r>
            <w:r>
              <w:rPr>
                <w:rFonts w:hint="eastAsia" w:ascii="宋体" w:hAnsi="宋体" w:eastAsia="宋体" w:cs="宋体"/>
                <w:kern w:val="2"/>
                <w:sz w:val="20"/>
                <w:szCs w:val="20"/>
                <w:highlight w:val="none"/>
                <w:lang w:val="en-US" w:eastAsia="zh-CN" w:bidi="ar-SA"/>
              </w:rPr>
              <w:t>具备广东省（除中山市外）仓储或配送能力</w:t>
            </w:r>
            <w:r>
              <w:rPr>
                <w:rFonts w:hint="eastAsia" w:ascii="宋体" w:hAnsi="宋体" w:cs="宋体"/>
                <w:kern w:val="2"/>
                <w:sz w:val="20"/>
                <w:szCs w:val="20"/>
                <w:highlight w:val="none"/>
                <w:lang w:val="en-US" w:eastAsia="zh-CN" w:bidi="ar-SA"/>
              </w:rPr>
              <w:t>，得4</w:t>
            </w:r>
            <w:r>
              <w:rPr>
                <w:rFonts w:hint="eastAsia" w:ascii="宋体" w:hAnsi="宋体" w:eastAsia="宋体" w:cs="宋体"/>
                <w:kern w:val="2"/>
                <w:sz w:val="20"/>
                <w:szCs w:val="20"/>
                <w:highlight w:val="none"/>
                <w:lang w:val="en-US" w:eastAsia="zh-CN" w:bidi="ar-SA"/>
              </w:rPr>
              <w:t>分；</w:t>
            </w:r>
          </w:p>
          <w:p w14:paraId="4D1ED384">
            <w:pPr>
              <w:tabs>
                <w:tab w:val="decimal" w:pos="315"/>
                <w:tab w:val="left" w:pos="630"/>
              </w:tabs>
              <w:spacing w:line="360" w:lineRule="auto"/>
              <w:rPr>
                <w:rFonts w:hint="eastAsia" w:ascii="宋体" w:hAnsi="宋体" w:cs="宋体"/>
                <w:kern w:val="2"/>
                <w:sz w:val="20"/>
                <w:szCs w:val="20"/>
                <w:highlight w:val="none"/>
                <w:lang w:val="en-US" w:eastAsia="zh-CN" w:bidi="ar-SA"/>
              </w:rPr>
            </w:pPr>
            <w:r>
              <w:rPr>
                <w:rFonts w:hint="eastAsia" w:ascii="宋体" w:hAnsi="宋体" w:cs="宋体"/>
                <w:kern w:val="2"/>
                <w:sz w:val="20"/>
                <w:szCs w:val="20"/>
                <w:highlight w:val="none"/>
                <w:lang w:val="en-US" w:eastAsia="zh-CN" w:bidi="ar-SA"/>
              </w:rPr>
              <w:t>3.</w:t>
            </w:r>
            <w:r>
              <w:rPr>
                <w:rFonts w:hint="eastAsia" w:ascii="宋体" w:hAnsi="宋体" w:cs="宋体"/>
                <w:sz w:val="20"/>
                <w:szCs w:val="20"/>
                <w:highlight w:val="none"/>
                <w:lang w:val="en-US" w:eastAsia="zh-CN"/>
              </w:rPr>
              <w:t>耗材</w:t>
            </w:r>
            <w:r>
              <w:rPr>
                <w:rFonts w:hint="eastAsia" w:ascii="宋体" w:hAnsi="宋体" w:eastAsia="宋体" w:cs="宋体"/>
                <w:kern w:val="2"/>
                <w:sz w:val="20"/>
                <w:szCs w:val="20"/>
                <w:highlight w:val="none"/>
                <w:lang w:val="en-US" w:eastAsia="zh-CN" w:bidi="ar-SA"/>
              </w:rPr>
              <w:t>具备除广东省外仓储或配送能力</w:t>
            </w:r>
            <w:r>
              <w:rPr>
                <w:rFonts w:hint="eastAsia" w:ascii="宋体" w:hAnsi="宋体" w:cs="宋体"/>
                <w:kern w:val="2"/>
                <w:sz w:val="20"/>
                <w:szCs w:val="20"/>
                <w:highlight w:val="none"/>
                <w:lang w:val="en-US" w:eastAsia="zh-CN" w:bidi="ar-SA"/>
              </w:rPr>
              <w:t>，得2</w:t>
            </w:r>
            <w:r>
              <w:rPr>
                <w:rFonts w:hint="eastAsia" w:ascii="宋体" w:hAnsi="宋体" w:eastAsia="宋体" w:cs="宋体"/>
                <w:kern w:val="2"/>
                <w:sz w:val="20"/>
                <w:szCs w:val="20"/>
                <w:highlight w:val="none"/>
                <w:lang w:val="en-US" w:eastAsia="zh-CN" w:bidi="ar-SA"/>
              </w:rPr>
              <w:t>分</w:t>
            </w:r>
            <w:r>
              <w:rPr>
                <w:rFonts w:hint="eastAsia" w:ascii="宋体" w:hAnsi="宋体" w:cs="宋体"/>
                <w:kern w:val="2"/>
                <w:sz w:val="20"/>
                <w:szCs w:val="20"/>
                <w:highlight w:val="none"/>
                <w:lang w:val="en-US" w:eastAsia="zh-CN" w:bidi="ar-SA"/>
              </w:rPr>
              <w:t>。</w:t>
            </w:r>
          </w:p>
          <w:p w14:paraId="0F9F3C80">
            <w:pPr>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cs="宋体"/>
                <w:kern w:val="2"/>
                <w:sz w:val="20"/>
                <w:szCs w:val="20"/>
                <w:highlight w:val="none"/>
                <w:lang w:val="en-US" w:eastAsia="zh-CN" w:bidi="ar-SA"/>
              </w:rPr>
              <w:t>注：</w:t>
            </w:r>
            <w:r>
              <w:rPr>
                <w:rFonts w:hint="eastAsia" w:ascii="宋体" w:hAnsi="宋体" w:eastAsia="宋体" w:cs="宋体"/>
                <w:kern w:val="2"/>
                <w:sz w:val="20"/>
                <w:szCs w:val="20"/>
                <w:highlight w:val="none"/>
                <w:lang w:val="en-US" w:eastAsia="zh-CN" w:bidi="ar-SA"/>
              </w:rPr>
              <w:t>提供</w:t>
            </w:r>
            <w:r>
              <w:rPr>
                <w:rFonts w:hint="eastAsia" w:ascii="宋体" w:hAnsi="宋体" w:cs="宋体"/>
                <w:kern w:val="2"/>
                <w:sz w:val="20"/>
                <w:szCs w:val="20"/>
                <w:highlight w:val="none"/>
                <w:lang w:val="en-US" w:eastAsia="zh-CN" w:bidi="ar-SA"/>
              </w:rPr>
              <w:t>《</w:t>
            </w:r>
            <w:r>
              <w:rPr>
                <w:rFonts w:hint="eastAsia" w:ascii="宋体" w:hAnsi="宋体" w:cs="宋体"/>
                <w:sz w:val="20"/>
                <w:szCs w:val="20"/>
                <w:highlight w:val="none"/>
                <w:lang w:val="en-US" w:eastAsia="zh-CN"/>
              </w:rPr>
              <w:t>供货能力承诺函》并加盖响应人公章</w:t>
            </w:r>
            <w:r>
              <w:rPr>
                <w:rFonts w:hint="eastAsia" w:ascii="宋体" w:hAnsi="宋体" w:eastAsia="宋体" w:cs="宋体"/>
                <w:kern w:val="2"/>
                <w:sz w:val="20"/>
                <w:szCs w:val="20"/>
                <w:highlight w:val="none"/>
                <w:lang w:val="en-US" w:eastAsia="zh-CN" w:bidi="ar-SA"/>
              </w:rPr>
              <w:t>，</w:t>
            </w:r>
            <w:r>
              <w:rPr>
                <w:rFonts w:hint="eastAsia" w:ascii="宋体" w:hAnsi="宋体" w:cs="宋体"/>
                <w:kern w:val="2"/>
                <w:sz w:val="20"/>
                <w:szCs w:val="20"/>
                <w:highlight w:val="none"/>
                <w:lang w:val="en-US" w:eastAsia="zh-CN" w:bidi="ar-SA"/>
              </w:rPr>
              <w:t>承诺内容包括但不限于供货地点、</w:t>
            </w:r>
            <w:r>
              <w:rPr>
                <w:rFonts w:hint="eastAsia" w:ascii="宋体" w:hAnsi="宋体" w:eastAsia="宋体" w:cs="宋体"/>
                <w:kern w:val="2"/>
                <w:sz w:val="20"/>
                <w:szCs w:val="20"/>
                <w:highlight w:val="none"/>
                <w:lang w:val="en-US" w:eastAsia="zh-CN" w:bidi="ar-SA"/>
              </w:rPr>
              <w:t>按需供货、及时响应</w:t>
            </w:r>
            <w:r>
              <w:rPr>
                <w:rFonts w:hint="eastAsia" w:ascii="宋体" w:hAnsi="宋体" w:cs="宋体"/>
                <w:kern w:val="2"/>
                <w:sz w:val="20"/>
                <w:szCs w:val="20"/>
                <w:highlight w:val="none"/>
                <w:lang w:val="en-US" w:eastAsia="zh-CN" w:bidi="ar-SA"/>
              </w:rPr>
              <w:t>等内容，格式自拟</w:t>
            </w:r>
            <w:r>
              <w:rPr>
                <w:rFonts w:hint="eastAsia" w:ascii="宋体" w:hAnsi="宋体" w:eastAsia="宋体" w:cs="宋体"/>
                <w:kern w:val="2"/>
                <w:sz w:val="20"/>
                <w:szCs w:val="20"/>
                <w:highlight w:val="none"/>
                <w:lang w:val="en-US" w:eastAsia="zh-CN" w:bidi="ar-SA"/>
              </w:rPr>
              <w:t>；</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5</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根据响应人提供的《业绩情况一览表》</w:t>
            </w:r>
            <w:r>
              <w:rPr>
                <w:rFonts w:hint="eastAsia" w:ascii="宋体" w:hAnsi="宋体" w:cs="宋体"/>
                <w:sz w:val="20"/>
                <w:szCs w:val="20"/>
                <w:highlight w:val="none"/>
                <w:lang w:val="en-US" w:eastAsia="zh-CN"/>
              </w:rPr>
              <w:t>及证明材料</w:t>
            </w:r>
            <w:r>
              <w:rPr>
                <w:rFonts w:hint="eastAsia" w:ascii="宋体" w:hAnsi="宋体" w:eastAsia="宋体" w:cs="宋体"/>
                <w:sz w:val="20"/>
                <w:szCs w:val="20"/>
                <w:highlight w:val="none"/>
              </w:rPr>
              <w:t>进行评审：</w:t>
            </w:r>
          </w:p>
          <w:p w14:paraId="3FFC9503">
            <w:pPr>
              <w:pStyle w:val="9"/>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每提供一份有效同类业绩证明文件得1分，同项目的不同证明文件不重复计分，最高</w:t>
            </w:r>
            <w:r>
              <w:rPr>
                <w:rFonts w:hint="eastAsia" w:ascii="宋体" w:hAnsi="宋体" w:cs="宋体"/>
                <w:kern w:val="2"/>
                <w:sz w:val="20"/>
                <w:szCs w:val="20"/>
                <w:highlight w:val="none"/>
                <w:lang w:val="en-US" w:eastAsia="zh-CN" w:bidi="ar-SA"/>
              </w:rPr>
              <w:t>5</w:t>
            </w:r>
            <w:r>
              <w:rPr>
                <w:rFonts w:hint="eastAsia" w:ascii="宋体" w:hAnsi="宋体" w:eastAsia="宋体" w:cs="宋体"/>
                <w:kern w:val="2"/>
                <w:sz w:val="20"/>
                <w:szCs w:val="20"/>
                <w:highlight w:val="none"/>
                <w:lang w:val="en-US" w:eastAsia="zh-CN" w:bidi="ar-SA"/>
              </w:rPr>
              <w:t>分。</w:t>
            </w:r>
            <w:r>
              <w:rPr>
                <w:rFonts w:hint="eastAsia" w:ascii="宋体" w:hAnsi="宋体" w:cs="宋体"/>
                <w:kern w:val="2"/>
                <w:sz w:val="20"/>
                <w:szCs w:val="20"/>
                <w:highlight w:val="none"/>
                <w:lang w:val="en-US" w:eastAsia="zh-CN" w:bidi="ar-SA"/>
              </w:rPr>
              <w:t>注：</w:t>
            </w:r>
            <w:r>
              <w:rPr>
                <w:rFonts w:hint="eastAsia" w:ascii="宋体" w:hAnsi="宋体" w:eastAsia="宋体" w:cs="宋体"/>
                <w:kern w:val="2"/>
                <w:sz w:val="20"/>
                <w:szCs w:val="20"/>
                <w:highlight w:val="none"/>
                <w:lang w:val="en-US" w:eastAsia="zh-CN" w:bidi="ar-SA"/>
              </w:rPr>
              <w:t>以</w:t>
            </w: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提供的202</w:t>
            </w:r>
            <w:r>
              <w:rPr>
                <w:rFonts w:hint="eastAsia" w:ascii="宋体" w:hAnsi="宋体" w:cs="宋体"/>
                <w:kern w:val="2"/>
                <w:sz w:val="20"/>
                <w:szCs w:val="20"/>
                <w:highlight w:val="none"/>
                <w:lang w:val="en-US" w:eastAsia="zh-CN" w:bidi="ar-SA"/>
              </w:rPr>
              <w:t>3</w:t>
            </w:r>
            <w:r>
              <w:rPr>
                <w:rFonts w:hint="eastAsia" w:ascii="宋体" w:hAnsi="宋体" w:eastAsia="宋体" w:cs="宋体"/>
                <w:kern w:val="2"/>
                <w:sz w:val="20"/>
                <w:szCs w:val="20"/>
                <w:highlight w:val="none"/>
                <w:lang w:val="en-US" w:eastAsia="zh-CN" w:bidi="ar-SA"/>
              </w:rPr>
              <w:t>年1月1日以来本项目同类产品的合同或验收报告中任何一个证明文件为准。</w:t>
            </w:r>
          </w:p>
        </w:tc>
      </w:tr>
      <w:tr w14:paraId="7D88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39" w:type="dxa"/>
            <w:noWrap w:val="0"/>
            <w:vAlign w:val="center"/>
          </w:tcPr>
          <w:p w14:paraId="57DBC14B">
            <w:pPr>
              <w:widowControl/>
              <w:spacing w:line="360" w:lineRule="auto"/>
              <w:jc w:val="center"/>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w:t>
            </w:r>
          </w:p>
        </w:tc>
        <w:tc>
          <w:tcPr>
            <w:tcW w:w="1559" w:type="dxa"/>
            <w:shd w:val="clear" w:color="000000" w:fill="FFFFFF"/>
            <w:noWrap w:val="0"/>
            <w:vAlign w:val="center"/>
          </w:tcPr>
          <w:p w14:paraId="29D1BA53">
            <w:pPr>
              <w:pStyle w:val="44"/>
              <w:spacing w:before="78" w:line="219" w:lineRule="auto"/>
              <w:ind w:left="29" w:leftChars="0"/>
              <w:jc w:val="center"/>
              <w:rPr>
                <w:rFonts w:hint="default" w:ascii="宋体" w:hAnsi="宋体" w:eastAsia="宋体" w:cs="宋体"/>
                <w:sz w:val="18"/>
                <w:szCs w:val="18"/>
                <w:lang w:val="en-US" w:eastAsia="zh-CN"/>
              </w:rPr>
            </w:pPr>
            <w:r>
              <w:rPr>
                <w:rFonts w:hint="eastAsia" w:cs="宋体"/>
                <w:sz w:val="18"/>
                <w:szCs w:val="18"/>
                <w:lang w:val="en-US" w:eastAsia="zh-CN"/>
              </w:rPr>
              <w:t>商务条款响应情况</w:t>
            </w:r>
          </w:p>
        </w:tc>
        <w:tc>
          <w:tcPr>
            <w:tcW w:w="781" w:type="dxa"/>
            <w:shd w:val="clear" w:color="000000" w:fill="FFFFFF"/>
            <w:noWrap w:val="0"/>
            <w:vAlign w:val="center"/>
          </w:tcPr>
          <w:p w14:paraId="39D10F94">
            <w:pPr>
              <w:tabs>
                <w:tab w:val="decimal" w:pos="315"/>
                <w:tab w:val="left" w:pos="630"/>
              </w:tabs>
              <w:autoSpaceDE w:val="0"/>
              <w:autoSpaceDN w:val="0"/>
              <w:spacing w:line="360" w:lineRule="auto"/>
              <w:jc w:val="center"/>
              <w:rPr>
                <w:rFonts w:hint="default" w:ascii="宋体" w:hAnsi="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7</w:t>
            </w:r>
          </w:p>
        </w:tc>
        <w:tc>
          <w:tcPr>
            <w:tcW w:w="8552" w:type="dxa"/>
            <w:shd w:val="clear" w:color="auto" w:fill="auto"/>
            <w:noWrap w:val="0"/>
            <w:vAlign w:val="center"/>
          </w:tcPr>
          <w:p w14:paraId="2134634E">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根据响应人提供的</w:t>
            </w:r>
            <w:r>
              <w:rPr>
                <w:rFonts w:hint="eastAsia" w:ascii="宋体" w:hAnsi="宋体" w:cs="宋体"/>
                <w:sz w:val="20"/>
                <w:szCs w:val="20"/>
                <w:highlight w:val="none"/>
                <w:lang w:eastAsia="zh-CN"/>
              </w:rPr>
              <w:t>《</w:t>
            </w:r>
            <w:r>
              <w:rPr>
                <w:rFonts w:hint="eastAsia" w:ascii="宋体" w:hAnsi="宋体" w:cs="宋体"/>
                <w:sz w:val="20"/>
                <w:szCs w:val="20"/>
                <w:highlight w:val="none"/>
              </w:rPr>
              <w:t>商务条款响应表</w:t>
            </w:r>
            <w:r>
              <w:rPr>
                <w:rFonts w:hint="eastAsia" w:ascii="宋体" w:hAnsi="宋体" w:cs="宋体"/>
                <w:sz w:val="20"/>
                <w:szCs w:val="20"/>
                <w:highlight w:val="none"/>
                <w:lang w:eastAsia="zh-CN"/>
              </w:rPr>
              <w:t>》（</w:t>
            </w:r>
            <w:r>
              <w:rPr>
                <w:rFonts w:hint="eastAsia" w:ascii="宋体" w:hAnsi="宋体" w:cs="宋体"/>
                <w:sz w:val="20"/>
                <w:szCs w:val="20"/>
                <w:highlight w:val="none"/>
              </w:rPr>
              <w:t>参考本文件格式</w:t>
            </w:r>
            <w:r>
              <w:rPr>
                <w:rFonts w:hint="eastAsia" w:ascii="宋体" w:hAnsi="宋体" w:cs="宋体"/>
                <w:sz w:val="20"/>
                <w:szCs w:val="20"/>
                <w:highlight w:val="none"/>
                <w:lang w:val="en-US" w:eastAsia="zh-CN"/>
              </w:rPr>
              <w:t>五</w:t>
            </w:r>
            <w:r>
              <w:rPr>
                <w:rFonts w:hint="eastAsia" w:ascii="宋体" w:hAnsi="宋体" w:cs="宋体"/>
                <w:sz w:val="20"/>
                <w:szCs w:val="20"/>
                <w:highlight w:val="none"/>
                <w:lang w:eastAsia="zh-CN"/>
              </w:rPr>
              <w:t>）</w:t>
            </w:r>
            <w:r>
              <w:rPr>
                <w:rFonts w:hint="eastAsia" w:ascii="宋体" w:hAnsi="宋体" w:cs="宋体"/>
                <w:sz w:val="20"/>
                <w:szCs w:val="20"/>
                <w:highlight w:val="none"/>
              </w:rPr>
              <w:t>各条款的响应程度进行评审</w:t>
            </w:r>
            <w:r>
              <w:rPr>
                <w:rFonts w:hint="eastAsia" w:ascii="宋体" w:hAnsi="宋体" w:eastAsia="宋体" w:cs="宋体"/>
                <w:sz w:val="20"/>
                <w:szCs w:val="20"/>
                <w:highlight w:val="none"/>
              </w:rPr>
              <w:t>：</w:t>
            </w:r>
            <w:r>
              <w:rPr>
                <w:rFonts w:hint="eastAsia" w:ascii="宋体" w:hAnsi="宋体" w:cs="宋体"/>
                <w:sz w:val="20"/>
                <w:szCs w:val="20"/>
                <w:highlight w:val="none"/>
              </w:rPr>
              <w:t>每满足一项得</w:t>
            </w:r>
            <w:r>
              <w:rPr>
                <w:rFonts w:hint="eastAsia" w:ascii="宋体" w:hAnsi="宋体" w:cs="宋体"/>
                <w:sz w:val="20"/>
                <w:szCs w:val="20"/>
                <w:highlight w:val="none"/>
                <w:lang w:val="en-US" w:eastAsia="zh-CN"/>
              </w:rPr>
              <w:t>0.5</w:t>
            </w:r>
            <w:r>
              <w:rPr>
                <w:rFonts w:hint="eastAsia" w:ascii="宋体" w:hAnsi="宋体" w:cs="宋体"/>
                <w:sz w:val="20"/>
                <w:szCs w:val="20"/>
                <w:highlight w:val="none"/>
              </w:rPr>
              <w:t>分，负偏离或不完全响应的不得分，最高得7分。</w:t>
            </w:r>
          </w:p>
          <w:p w14:paraId="4A4D3584">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p>
        </w:tc>
      </w:tr>
      <w:tr w14:paraId="67FF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7E4E0280">
            <w:pPr>
              <w:widowControl/>
              <w:spacing w:line="360" w:lineRule="auto"/>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w:t>
            </w:r>
          </w:p>
        </w:tc>
        <w:tc>
          <w:tcPr>
            <w:tcW w:w="1559" w:type="dxa"/>
            <w:shd w:val="clear" w:color="000000" w:fill="FFFFFF"/>
            <w:noWrap w:val="0"/>
            <w:vAlign w:val="center"/>
          </w:tcPr>
          <w:p w14:paraId="7E03F9B6">
            <w:pPr>
              <w:pStyle w:val="44"/>
              <w:spacing w:before="78" w:line="219" w:lineRule="auto"/>
              <w:ind w:left="29" w:leftChars="0"/>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sz w:val="18"/>
                <w:szCs w:val="18"/>
              </w:rPr>
              <w:t>重要技术参数“▲”响应情况</w:t>
            </w:r>
          </w:p>
        </w:tc>
        <w:tc>
          <w:tcPr>
            <w:tcW w:w="781" w:type="dxa"/>
            <w:shd w:val="clear" w:color="000000" w:fill="FFFFFF"/>
            <w:noWrap w:val="0"/>
            <w:vAlign w:val="center"/>
          </w:tcPr>
          <w:p w14:paraId="626EEDE5">
            <w:pPr>
              <w:tabs>
                <w:tab w:val="decimal" w:pos="315"/>
                <w:tab w:val="left" w:pos="630"/>
              </w:tabs>
              <w:autoSpaceDE w:val="0"/>
              <w:autoSpaceDN w:val="0"/>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10</w:t>
            </w:r>
          </w:p>
        </w:tc>
        <w:tc>
          <w:tcPr>
            <w:tcW w:w="8552" w:type="dxa"/>
            <w:shd w:val="clear" w:color="auto" w:fill="auto"/>
            <w:noWrap w:val="0"/>
            <w:vAlign w:val="center"/>
          </w:tcPr>
          <w:p w14:paraId="5414E4EB">
            <w:pPr>
              <w:tabs>
                <w:tab w:val="decimal" w:pos="315"/>
                <w:tab w:val="left" w:pos="630"/>
              </w:tabs>
              <w:spacing w:line="360" w:lineRule="auto"/>
              <w:ind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根据响应人提供的《</w:t>
            </w:r>
            <w:r>
              <w:rPr>
                <w:rFonts w:hint="eastAsia" w:ascii="宋体" w:hAnsi="宋体" w:cs="宋体"/>
                <w:sz w:val="18"/>
                <w:szCs w:val="18"/>
              </w:rPr>
              <w:t>重要技术参数“▲”响应情况</w:t>
            </w:r>
            <w:r>
              <w:rPr>
                <w:rFonts w:hint="eastAsia" w:ascii="宋体" w:hAnsi="宋体" w:eastAsia="宋体" w:cs="宋体"/>
                <w:sz w:val="20"/>
                <w:szCs w:val="20"/>
                <w:highlight w:val="none"/>
              </w:rPr>
              <w:t>表》</w:t>
            </w:r>
            <w:r>
              <w:rPr>
                <w:rFonts w:hint="eastAsia" w:ascii="宋体" w:hAnsi="宋体" w:cs="宋体"/>
                <w:sz w:val="20"/>
                <w:szCs w:val="20"/>
                <w:highlight w:val="none"/>
              </w:rPr>
              <w:t>（参考本文件格式</w:t>
            </w:r>
            <w:r>
              <w:rPr>
                <w:rFonts w:hint="eastAsia" w:ascii="宋体" w:hAnsi="宋体" w:cs="宋体"/>
                <w:sz w:val="20"/>
                <w:szCs w:val="20"/>
                <w:highlight w:val="none"/>
                <w:lang w:val="en-US" w:eastAsia="zh-CN"/>
              </w:rPr>
              <w:t>四</w:t>
            </w:r>
            <w:r>
              <w:rPr>
                <w:rFonts w:hint="eastAsia" w:ascii="宋体" w:hAnsi="宋体" w:cs="宋体"/>
                <w:sz w:val="20"/>
                <w:szCs w:val="20"/>
                <w:highlight w:val="none"/>
              </w:rPr>
              <w:t>）</w:t>
            </w:r>
            <w:r>
              <w:rPr>
                <w:rFonts w:hint="eastAsia" w:ascii="宋体" w:hAnsi="宋体" w:cs="宋体"/>
                <w:sz w:val="20"/>
                <w:szCs w:val="20"/>
                <w:highlight w:val="none"/>
                <w:lang w:val="en-US" w:eastAsia="zh-CN"/>
              </w:rPr>
              <w:t>及证明材料</w:t>
            </w:r>
            <w:r>
              <w:rPr>
                <w:rFonts w:hint="eastAsia" w:ascii="宋体" w:hAnsi="宋体" w:eastAsia="宋体" w:cs="宋体"/>
                <w:sz w:val="20"/>
                <w:szCs w:val="20"/>
                <w:highlight w:val="none"/>
              </w:rPr>
              <w:t>进行评审：</w:t>
            </w:r>
          </w:p>
          <w:p w14:paraId="53312E2D">
            <w:pPr>
              <w:tabs>
                <w:tab w:val="decimal" w:pos="315"/>
                <w:tab w:val="left" w:pos="630"/>
              </w:tabs>
              <w:spacing w:line="360" w:lineRule="auto"/>
              <w:ind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color w:val="000000"/>
                <w:kern w:val="28"/>
                <w:sz w:val="20"/>
                <w:szCs w:val="20"/>
                <w:highlight w:val="none"/>
                <w:lang w:val="en-US" w:eastAsia="zh-CN" w:bidi="ar-SA"/>
              </w:rPr>
              <w:t>重要技术参数“▲”响应情况得分标准：</w:t>
            </w:r>
            <w:r>
              <w:rPr>
                <w:rFonts w:hint="eastAsia" w:ascii="宋体" w:hAnsi="宋体" w:cs="宋体"/>
                <w:color w:val="000000"/>
                <w:kern w:val="28"/>
                <w:sz w:val="20"/>
                <w:szCs w:val="20"/>
                <w:highlight w:val="none"/>
                <w:lang w:val="en-US" w:eastAsia="zh-CN" w:bidi="ar-SA"/>
              </w:rPr>
              <w:t>响应供应商</w:t>
            </w:r>
            <w:r>
              <w:rPr>
                <w:rFonts w:hint="eastAsia" w:ascii="宋体" w:hAnsi="宋体" w:eastAsia="宋体" w:cs="宋体"/>
                <w:color w:val="000000"/>
                <w:kern w:val="28"/>
                <w:sz w:val="20"/>
                <w:szCs w:val="20"/>
                <w:highlight w:val="none"/>
                <w:lang w:val="en-US" w:eastAsia="zh-CN" w:bidi="ar-SA"/>
              </w:rPr>
              <w:t>每满足一项“▲”参数得</w:t>
            </w:r>
            <w:r>
              <w:rPr>
                <w:rFonts w:hint="eastAsia" w:ascii="宋体" w:hAnsi="宋体" w:cs="宋体"/>
                <w:color w:val="000000"/>
                <w:kern w:val="28"/>
                <w:sz w:val="20"/>
                <w:szCs w:val="20"/>
                <w:highlight w:val="none"/>
                <w:lang w:val="en-US" w:eastAsia="zh-CN" w:bidi="ar-SA"/>
              </w:rPr>
              <w:t>5</w:t>
            </w:r>
            <w:r>
              <w:rPr>
                <w:rFonts w:hint="eastAsia" w:ascii="宋体" w:hAnsi="宋体" w:eastAsia="宋体" w:cs="宋体"/>
                <w:color w:val="000000"/>
                <w:kern w:val="28"/>
                <w:sz w:val="20"/>
                <w:szCs w:val="20"/>
                <w:highlight w:val="none"/>
                <w:lang w:val="en-US" w:eastAsia="zh-CN" w:bidi="ar-SA"/>
              </w:rPr>
              <w:t>分，满分</w:t>
            </w:r>
            <w:r>
              <w:rPr>
                <w:rFonts w:hint="eastAsia" w:ascii="宋体" w:hAnsi="宋体" w:cs="宋体"/>
                <w:color w:val="000000"/>
                <w:kern w:val="28"/>
                <w:sz w:val="20"/>
                <w:szCs w:val="20"/>
                <w:highlight w:val="none"/>
                <w:lang w:val="en-US" w:eastAsia="zh-CN" w:bidi="ar-SA"/>
              </w:rPr>
              <w:t>10</w:t>
            </w:r>
            <w:r>
              <w:rPr>
                <w:rFonts w:hint="eastAsia" w:ascii="宋体" w:hAnsi="宋体" w:eastAsia="宋体" w:cs="宋体"/>
                <w:color w:val="000000"/>
                <w:kern w:val="28"/>
                <w:sz w:val="20"/>
                <w:szCs w:val="20"/>
                <w:highlight w:val="none"/>
                <w:lang w:val="en-US" w:eastAsia="zh-CN" w:bidi="ar-SA"/>
              </w:rPr>
              <w:t>分。</w:t>
            </w:r>
            <w:r>
              <w:rPr>
                <w:rFonts w:hint="eastAsia" w:ascii="宋体" w:hAnsi="宋体" w:cs="宋体"/>
                <w:color w:val="000000"/>
                <w:kern w:val="28"/>
                <w:sz w:val="20"/>
                <w:szCs w:val="20"/>
                <w:highlight w:val="none"/>
                <w:lang w:val="en-US" w:eastAsia="zh-CN" w:bidi="ar-SA"/>
              </w:rPr>
              <w:t>响应供应商</w:t>
            </w:r>
            <w:r>
              <w:rPr>
                <w:rFonts w:hint="eastAsia" w:ascii="宋体" w:hAnsi="宋体" w:eastAsia="宋体" w:cs="宋体"/>
                <w:color w:val="000000"/>
                <w:kern w:val="28"/>
                <w:sz w:val="20"/>
                <w:szCs w:val="20"/>
                <w:highlight w:val="none"/>
                <w:lang w:val="en-US" w:eastAsia="zh-CN" w:bidi="ar-SA"/>
              </w:rPr>
              <w:t>需要提供的资料及注意事项：</w:t>
            </w:r>
          </w:p>
          <w:p w14:paraId="656076E9">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color w:val="000000"/>
                <w:kern w:val="28"/>
                <w:sz w:val="20"/>
                <w:szCs w:val="20"/>
                <w:highlight w:val="none"/>
                <w:lang w:val="en-US" w:eastAsia="zh-CN" w:bidi="ar-SA"/>
              </w:rPr>
              <w:t>（1）若“▲”条款中须提供承诺函的，</w:t>
            </w:r>
            <w:r>
              <w:rPr>
                <w:rFonts w:hint="eastAsia" w:ascii="宋体" w:hAnsi="宋体" w:cs="宋体"/>
                <w:color w:val="000000"/>
                <w:kern w:val="28"/>
                <w:sz w:val="20"/>
                <w:szCs w:val="20"/>
                <w:highlight w:val="none"/>
                <w:lang w:val="en-US" w:eastAsia="zh-CN" w:bidi="ar-SA"/>
              </w:rPr>
              <w:t>响应供应商</w:t>
            </w:r>
            <w:r>
              <w:rPr>
                <w:rFonts w:hint="eastAsia" w:ascii="宋体" w:hAnsi="宋体" w:eastAsia="宋体" w:cs="宋体"/>
                <w:color w:val="000000"/>
                <w:kern w:val="28"/>
                <w:sz w:val="20"/>
                <w:szCs w:val="20"/>
                <w:highlight w:val="none"/>
                <w:lang w:val="en-US" w:eastAsia="zh-CN" w:bidi="ar-SA"/>
              </w:rPr>
              <w:t>应在</w:t>
            </w:r>
            <w:r>
              <w:rPr>
                <w:rFonts w:hint="eastAsia" w:ascii="宋体" w:hAnsi="宋体" w:cs="宋体"/>
                <w:color w:val="000000"/>
                <w:kern w:val="28"/>
                <w:sz w:val="20"/>
                <w:szCs w:val="20"/>
                <w:highlight w:val="none"/>
                <w:lang w:val="en-US" w:eastAsia="zh-CN" w:bidi="ar-SA"/>
              </w:rPr>
              <w:t>响应文件</w:t>
            </w:r>
            <w:r>
              <w:rPr>
                <w:rFonts w:hint="eastAsia" w:ascii="宋体" w:hAnsi="宋体" w:eastAsia="宋体" w:cs="宋体"/>
                <w:color w:val="000000"/>
                <w:kern w:val="28"/>
                <w:sz w:val="20"/>
                <w:szCs w:val="20"/>
                <w:highlight w:val="none"/>
                <w:lang w:val="en-US" w:eastAsia="zh-CN" w:bidi="ar-SA"/>
              </w:rPr>
              <w:t>中提供承诺函并加盖</w:t>
            </w:r>
            <w:r>
              <w:rPr>
                <w:rFonts w:hint="eastAsia" w:ascii="宋体" w:hAnsi="宋体" w:cs="宋体"/>
                <w:color w:val="000000"/>
                <w:kern w:val="28"/>
                <w:sz w:val="20"/>
                <w:szCs w:val="20"/>
                <w:highlight w:val="none"/>
                <w:lang w:val="en-US" w:eastAsia="zh-CN" w:bidi="ar-SA"/>
              </w:rPr>
              <w:t>响应供应商</w:t>
            </w:r>
            <w:r>
              <w:rPr>
                <w:rFonts w:hint="eastAsia" w:ascii="宋体" w:hAnsi="宋体" w:eastAsia="宋体" w:cs="宋体"/>
                <w:color w:val="000000"/>
                <w:kern w:val="28"/>
                <w:sz w:val="20"/>
                <w:szCs w:val="20"/>
                <w:highlight w:val="none"/>
                <w:lang w:val="en-US" w:eastAsia="zh-CN" w:bidi="ar-SA"/>
              </w:rPr>
              <w:t>公章，格式自拟；</w:t>
            </w:r>
          </w:p>
          <w:p w14:paraId="2F8BF50F">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color w:val="000000"/>
                <w:kern w:val="28"/>
                <w:sz w:val="20"/>
                <w:szCs w:val="20"/>
                <w:highlight w:val="none"/>
                <w:lang w:val="en-US" w:eastAsia="zh-CN" w:bidi="ar-SA"/>
              </w:rPr>
              <w:t>（2）若“▲”条款中须提供证明材料的，</w:t>
            </w:r>
            <w:r>
              <w:rPr>
                <w:rFonts w:hint="eastAsia" w:ascii="宋体" w:hAnsi="宋体" w:cs="宋体"/>
                <w:color w:val="000000"/>
                <w:kern w:val="28"/>
                <w:sz w:val="20"/>
                <w:szCs w:val="20"/>
                <w:highlight w:val="none"/>
                <w:lang w:val="en-US" w:eastAsia="zh-CN" w:bidi="ar-SA"/>
              </w:rPr>
              <w:t>响应供应商</w:t>
            </w:r>
            <w:r>
              <w:rPr>
                <w:rFonts w:hint="eastAsia" w:ascii="宋体" w:hAnsi="宋体" w:eastAsia="宋体" w:cs="宋体"/>
                <w:color w:val="000000"/>
                <w:kern w:val="28"/>
                <w:sz w:val="20"/>
                <w:szCs w:val="20"/>
                <w:highlight w:val="none"/>
                <w:lang w:val="en-US" w:eastAsia="zh-CN" w:bidi="ar-SA"/>
              </w:rPr>
              <w:t>应在</w:t>
            </w:r>
            <w:r>
              <w:rPr>
                <w:rFonts w:hint="eastAsia" w:ascii="宋体" w:hAnsi="宋体" w:cs="宋体"/>
                <w:color w:val="000000"/>
                <w:kern w:val="28"/>
                <w:sz w:val="20"/>
                <w:szCs w:val="20"/>
                <w:highlight w:val="none"/>
                <w:lang w:val="en-US" w:eastAsia="zh-CN" w:bidi="ar-SA"/>
              </w:rPr>
              <w:t>响应文件</w:t>
            </w:r>
            <w:r>
              <w:rPr>
                <w:rFonts w:hint="eastAsia" w:ascii="宋体" w:hAnsi="宋体" w:eastAsia="宋体" w:cs="宋体"/>
                <w:color w:val="000000"/>
                <w:kern w:val="28"/>
                <w:sz w:val="20"/>
                <w:szCs w:val="20"/>
                <w:highlight w:val="none"/>
                <w:lang w:val="en-US" w:eastAsia="zh-CN" w:bidi="ar-SA"/>
              </w:rPr>
              <w:t>中按</w:t>
            </w:r>
            <w:r>
              <w:rPr>
                <w:rFonts w:hint="eastAsia" w:ascii="宋体" w:hAnsi="宋体" w:cs="宋体"/>
                <w:color w:val="000000"/>
                <w:kern w:val="28"/>
                <w:sz w:val="20"/>
                <w:szCs w:val="20"/>
                <w:highlight w:val="none"/>
                <w:lang w:val="en-US" w:eastAsia="zh-CN" w:bidi="ar-SA"/>
              </w:rPr>
              <w:t>本采购</w:t>
            </w:r>
            <w:r>
              <w:rPr>
                <w:rFonts w:hint="eastAsia" w:ascii="宋体" w:hAnsi="宋体" w:eastAsia="宋体" w:cs="宋体"/>
                <w:color w:val="000000"/>
                <w:kern w:val="28"/>
                <w:sz w:val="20"/>
                <w:szCs w:val="20"/>
                <w:highlight w:val="none"/>
                <w:lang w:val="en-US" w:eastAsia="zh-CN" w:bidi="ar-SA"/>
              </w:rPr>
              <w:t>文件“</w:t>
            </w:r>
            <w:r>
              <w:rPr>
                <w:rFonts w:hint="eastAsia" w:ascii="宋体" w:hAnsi="宋体" w:cs="宋体"/>
                <w:color w:val="000000"/>
                <w:kern w:val="28"/>
                <w:sz w:val="20"/>
                <w:szCs w:val="20"/>
                <w:highlight w:val="none"/>
              </w:rPr>
              <w:t>三、项目需求内容</w:t>
            </w:r>
            <w:r>
              <w:rPr>
                <w:rFonts w:hint="eastAsia" w:ascii="宋体" w:hAnsi="宋体" w:eastAsia="宋体" w:cs="宋体"/>
                <w:color w:val="000000"/>
                <w:kern w:val="28"/>
                <w:sz w:val="20"/>
                <w:szCs w:val="20"/>
                <w:highlight w:val="none"/>
                <w:lang w:val="en-US" w:eastAsia="zh-CN" w:bidi="ar-SA"/>
              </w:rPr>
              <w:t>”中的要求附上证明材料；</w:t>
            </w:r>
          </w:p>
          <w:p w14:paraId="462D2296">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color w:val="000000"/>
                <w:kern w:val="28"/>
                <w:sz w:val="20"/>
                <w:szCs w:val="20"/>
                <w:highlight w:val="none"/>
                <w:lang w:val="en-US" w:eastAsia="zh-CN" w:bidi="ar-SA"/>
              </w:rPr>
              <w:t>（3）没按要求填写或附上资料的，视为不满足，则对应条款不能得分。</w:t>
            </w:r>
          </w:p>
        </w:tc>
      </w:tr>
      <w:tr w14:paraId="68C1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12E9DB42">
            <w:pPr>
              <w:widowControl/>
              <w:spacing w:line="360" w:lineRule="auto"/>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w:t>
            </w:r>
          </w:p>
        </w:tc>
        <w:tc>
          <w:tcPr>
            <w:tcW w:w="1559" w:type="dxa"/>
            <w:noWrap w:val="0"/>
            <w:vAlign w:val="center"/>
          </w:tcPr>
          <w:p w14:paraId="6D28DE82">
            <w:pPr>
              <w:tabs>
                <w:tab w:val="decimal" w:pos="315"/>
                <w:tab w:val="left" w:pos="630"/>
              </w:tabs>
              <w:spacing w:line="360" w:lineRule="auto"/>
              <w:ind w:left="-77" w:leftChars="-37" w:right="-73" w:rightChars="-35"/>
              <w:jc w:val="center"/>
              <w:rPr>
                <w:rFonts w:hint="eastAsia" w:ascii="宋体" w:hAnsi="宋体" w:eastAsia="宋体" w:cs="宋体"/>
                <w:sz w:val="20"/>
                <w:szCs w:val="20"/>
                <w:highlight w:val="none"/>
              </w:rPr>
            </w:pPr>
            <w:r>
              <w:rPr>
                <w:rFonts w:hint="eastAsia" w:ascii="宋体" w:hAnsi="宋体" w:cs="宋体"/>
                <w:sz w:val="18"/>
                <w:szCs w:val="18"/>
              </w:rPr>
              <w:t>一般技术参数响应情况</w:t>
            </w:r>
          </w:p>
        </w:tc>
        <w:tc>
          <w:tcPr>
            <w:tcW w:w="781" w:type="dxa"/>
            <w:noWrap w:val="0"/>
            <w:vAlign w:val="center"/>
          </w:tcPr>
          <w:p w14:paraId="4A9AC77A">
            <w:pPr>
              <w:tabs>
                <w:tab w:val="decimal" w:pos="315"/>
                <w:tab w:val="left" w:pos="630"/>
              </w:tabs>
              <w:spacing w:line="360" w:lineRule="auto"/>
              <w:ind w:left="-77" w:leftChars="-37" w:right="-73" w:rightChars="-35"/>
              <w:jc w:val="center"/>
              <w:rPr>
                <w:rFonts w:hint="default" w:ascii="宋体" w:hAnsi="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12</w:t>
            </w:r>
          </w:p>
        </w:tc>
        <w:tc>
          <w:tcPr>
            <w:tcW w:w="8552" w:type="dxa"/>
            <w:noWrap w:val="0"/>
            <w:vAlign w:val="top"/>
          </w:tcPr>
          <w:p w14:paraId="7B29E1B7">
            <w:pPr>
              <w:tabs>
                <w:tab w:val="decimal" w:pos="315"/>
                <w:tab w:val="left" w:pos="630"/>
              </w:tabs>
              <w:spacing w:line="360" w:lineRule="auto"/>
              <w:ind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根据响应人提供的《</w:t>
            </w:r>
            <w:r>
              <w:rPr>
                <w:rFonts w:hint="eastAsia" w:ascii="宋体" w:hAnsi="宋体" w:cs="宋体"/>
                <w:sz w:val="18"/>
                <w:szCs w:val="18"/>
              </w:rPr>
              <w:t>一般技术参数响应情况</w:t>
            </w:r>
            <w:r>
              <w:rPr>
                <w:rFonts w:hint="eastAsia" w:ascii="宋体" w:hAnsi="宋体" w:eastAsia="宋体" w:cs="宋体"/>
                <w:sz w:val="20"/>
                <w:szCs w:val="20"/>
                <w:highlight w:val="none"/>
              </w:rPr>
              <w:t>表》</w:t>
            </w:r>
            <w:r>
              <w:rPr>
                <w:rFonts w:hint="eastAsia" w:ascii="宋体" w:hAnsi="宋体" w:cs="宋体"/>
                <w:sz w:val="20"/>
                <w:szCs w:val="20"/>
                <w:highlight w:val="none"/>
              </w:rPr>
              <w:t>（参考本文件格式</w:t>
            </w:r>
            <w:r>
              <w:rPr>
                <w:rFonts w:hint="eastAsia" w:ascii="宋体" w:hAnsi="宋体" w:cs="宋体"/>
                <w:sz w:val="20"/>
                <w:szCs w:val="20"/>
                <w:highlight w:val="none"/>
                <w:lang w:val="en-US" w:eastAsia="zh-CN"/>
              </w:rPr>
              <w:t>四</w:t>
            </w:r>
            <w:r>
              <w:rPr>
                <w:rFonts w:hint="eastAsia" w:ascii="宋体" w:hAnsi="宋体" w:cs="宋体"/>
                <w:sz w:val="20"/>
                <w:szCs w:val="20"/>
                <w:highlight w:val="none"/>
              </w:rPr>
              <w:t>）</w:t>
            </w:r>
            <w:r>
              <w:rPr>
                <w:rFonts w:hint="eastAsia" w:ascii="宋体" w:hAnsi="宋体" w:cs="宋体"/>
                <w:sz w:val="20"/>
                <w:szCs w:val="20"/>
                <w:highlight w:val="none"/>
                <w:lang w:val="en-US" w:eastAsia="zh-CN"/>
              </w:rPr>
              <w:t>及证明材料</w:t>
            </w:r>
            <w:r>
              <w:rPr>
                <w:rFonts w:hint="eastAsia" w:ascii="宋体" w:hAnsi="宋体" w:eastAsia="宋体" w:cs="宋体"/>
                <w:sz w:val="20"/>
                <w:szCs w:val="20"/>
                <w:highlight w:val="none"/>
              </w:rPr>
              <w:t>进行评审：</w:t>
            </w:r>
          </w:p>
          <w:p w14:paraId="1EB6A322">
            <w:p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一般技术参数（“五、货物采购清单及其技术参数要求”中除“★”及“▲”之外的条款，共</w:t>
            </w:r>
            <w:r>
              <w:rPr>
                <w:rFonts w:hint="eastAsia" w:ascii="宋体" w:hAnsi="宋体" w:cs="宋体"/>
                <w:sz w:val="20"/>
                <w:szCs w:val="20"/>
                <w:highlight w:val="none"/>
                <w:lang w:val="en-US" w:eastAsia="zh-CN"/>
              </w:rPr>
              <w:t>8</w:t>
            </w:r>
            <w:r>
              <w:rPr>
                <w:rFonts w:hint="eastAsia" w:ascii="宋体" w:hAnsi="宋体" w:eastAsia="宋体" w:cs="宋体"/>
                <w:sz w:val="20"/>
                <w:szCs w:val="20"/>
                <w:highlight w:val="none"/>
                <w:lang w:val="en-US" w:eastAsia="zh-CN"/>
              </w:rPr>
              <w:t>项）响应情况得分标准：每有一项满足要求（无偏离或有正偏离的）得</w:t>
            </w:r>
            <w:r>
              <w:rPr>
                <w:rFonts w:hint="eastAsia" w:ascii="宋体" w:hAnsi="宋体" w:cs="宋体"/>
                <w:sz w:val="20"/>
                <w:szCs w:val="20"/>
                <w:highlight w:val="none"/>
                <w:lang w:val="en-US" w:eastAsia="zh-CN"/>
              </w:rPr>
              <w:t>1.5</w:t>
            </w:r>
            <w:r>
              <w:rPr>
                <w:rFonts w:hint="eastAsia" w:ascii="宋体" w:hAnsi="宋体" w:eastAsia="宋体" w:cs="宋体"/>
                <w:sz w:val="20"/>
                <w:szCs w:val="20"/>
                <w:highlight w:val="none"/>
                <w:lang w:val="en-US" w:eastAsia="zh-CN"/>
              </w:rPr>
              <w:t>分，存在不满足要求视为“负偏离”，不得分，最高</w:t>
            </w:r>
            <w:r>
              <w:rPr>
                <w:rFonts w:hint="eastAsia" w:ascii="宋体" w:hAnsi="宋体" w:cs="宋体"/>
                <w:sz w:val="20"/>
                <w:szCs w:val="20"/>
                <w:highlight w:val="none"/>
                <w:lang w:val="en-US" w:eastAsia="zh-CN"/>
              </w:rPr>
              <w:t>8</w:t>
            </w:r>
            <w:r>
              <w:rPr>
                <w:rFonts w:hint="eastAsia" w:ascii="宋体" w:hAnsi="宋体" w:eastAsia="宋体" w:cs="宋体"/>
                <w:sz w:val="20"/>
                <w:szCs w:val="20"/>
                <w:highlight w:val="none"/>
                <w:lang w:val="en-US" w:eastAsia="zh-CN"/>
              </w:rPr>
              <w:t>分。</w:t>
            </w:r>
          </w:p>
          <w:p w14:paraId="7FB95616">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注：（1）如采购需求中有明确要求提供证明资料的，需提供相关证明材料；（2）如采购需求中无明确要求提供证明材料的，则以</w:t>
            </w:r>
            <w:r>
              <w:rPr>
                <w:rFonts w:hint="eastAsia" w:ascii="宋体" w:hAnsi="宋体" w:cs="宋体"/>
                <w:sz w:val="20"/>
                <w:szCs w:val="20"/>
                <w:highlight w:val="none"/>
                <w:lang w:val="en-US" w:eastAsia="zh-CN"/>
              </w:rPr>
              <w:t>响应供应商响应文件</w:t>
            </w:r>
            <w:r>
              <w:rPr>
                <w:rFonts w:hint="eastAsia" w:ascii="宋体" w:hAnsi="宋体" w:eastAsia="宋体" w:cs="宋体"/>
                <w:sz w:val="20"/>
                <w:szCs w:val="20"/>
                <w:highlight w:val="none"/>
                <w:lang w:val="en-US" w:eastAsia="zh-CN"/>
              </w:rPr>
              <w:t>中的《技术和服务要求响应表》中（格式自拟）的响应情况填写内容为准，未填写的或参数不满足的都视为负偏离；（3）不提供证明材料或资料不全的，均不得分。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val="en-US" w:eastAsia="zh-CN"/>
              </w:rPr>
              <w:t>6</w:t>
            </w:r>
          </w:p>
        </w:tc>
        <w:tc>
          <w:tcPr>
            <w:tcW w:w="1559" w:type="dxa"/>
            <w:shd w:val="clear" w:color="auto" w:fill="auto"/>
            <w:noWrap w:val="0"/>
            <w:vAlign w:val="center"/>
          </w:tcPr>
          <w:p w14:paraId="26287A69">
            <w:pPr>
              <w:pStyle w:val="44"/>
              <w:spacing w:before="78" w:line="219" w:lineRule="auto"/>
              <w:ind w:left="29" w:leftChars="0"/>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售后服务</w:t>
            </w:r>
          </w:p>
        </w:tc>
        <w:tc>
          <w:tcPr>
            <w:tcW w:w="781" w:type="dxa"/>
            <w:shd w:val="clear" w:color="auto" w:fill="auto"/>
            <w:noWrap w:val="0"/>
            <w:vAlign w:val="center"/>
          </w:tcPr>
          <w:p w14:paraId="1C5C06D7">
            <w:pPr>
              <w:tabs>
                <w:tab w:val="decimal" w:pos="315"/>
                <w:tab w:val="left" w:pos="630"/>
              </w:tabs>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5</w:t>
            </w:r>
          </w:p>
        </w:tc>
        <w:tc>
          <w:tcPr>
            <w:tcW w:w="8552" w:type="dxa"/>
            <w:shd w:val="clear" w:color="auto" w:fill="auto"/>
            <w:noWrap w:val="0"/>
            <w:vAlign w:val="center"/>
          </w:tcPr>
          <w:p w14:paraId="10CDE18C">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评审专家</w:t>
            </w:r>
            <w:r>
              <w:rPr>
                <w:rFonts w:hint="eastAsia" w:ascii="宋体" w:hAnsi="宋体" w:eastAsia="宋体" w:cs="宋体"/>
                <w:sz w:val="20"/>
                <w:szCs w:val="20"/>
                <w:highlight w:val="none"/>
              </w:rPr>
              <w:t>根据响应人提供的</w:t>
            </w:r>
            <w:r>
              <w:rPr>
                <w:rFonts w:hint="eastAsia" w:ascii="宋体" w:hAnsi="宋体" w:eastAsia="宋体" w:cs="宋体"/>
                <w:sz w:val="20"/>
                <w:szCs w:val="20"/>
                <w:highlight w:val="none"/>
                <w:lang w:eastAsia="zh-CN"/>
              </w:rPr>
              <w:t>《售后服务承诺书》</w:t>
            </w:r>
            <w:r>
              <w:rPr>
                <w:rFonts w:hint="eastAsia" w:ascii="宋体" w:hAnsi="宋体" w:eastAsia="宋体" w:cs="宋体"/>
                <w:sz w:val="20"/>
                <w:szCs w:val="20"/>
                <w:highlight w:val="none"/>
                <w:lang w:val="en-US" w:eastAsia="zh-CN"/>
              </w:rPr>
              <w:t>进行评审</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包括但不限于以下内容：①预防性维护保养；②故障维修、零配件更换；③联网数据接口；④提供备用设备</w:t>
            </w:r>
            <w:r>
              <w:rPr>
                <w:rFonts w:hint="eastAsia" w:ascii="宋体" w:hAnsi="宋体" w:eastAsia="宋体" w:cs="宋体"/>
                <w:sz w:val="20"/>
                <w:szCs w:val="20"/>
                <w:highlight w:val="none"/>
                <w:lang w:val="en-US" w:eastAsia="zh-CN"/>
              </w:rPr>
              <w:t>等</w:t>
            </w:r>
            <w:r>
              <w:rPr>
                <w:rFonts w:hint="eastAsia" w:ascii="宋体" w:hAnsi="宋体" w:eastAsia="宋体" w:cs="宋体"/>
                <w:sz w:val="20"/>
                <w:szCs w:val="20"/>
                <w:highlight w:val="none"/>
              </w:rPr>
              <w:t>。</w:t>
            </w:r>
          </w:p>
          <w:p w14:paraId="74E97388">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（1）</w:t>
            </w:r>
            <w:r>
              <w:rPr>
                <w:rFonts w:hint="eastAsia" w:ascii="宋体" w:hAnsi="宋体" w:eastAsia="宋体" w:cs="宋体"/>
                <w:sz w:val="20"/>
                <w:szCs w:val="20"/>
                <w:highlight w:val="none"/>
                <w:lang w:eastAsia="zh-CN"/>
              </w:rPr>
              <w:t>《售后服务承诺书》</w:t>
            </w:r>
            <w:r>
              <w:rPr>
                <w:rFonts w:hint="eastAsia" w:ascii="宋体" w:hAnsi="宋体" w:cs="宋体"/>
                <w:sz w:val="20"/>
                <w:szCs w:val="20"/>
                <w:highlight w:val="none"/>
                <w:lang w:val="en-US" w:eastAsia="zh-CN"/>
              </w:rPr>
              <w:t>包含</w:t>
            </w:r>
            <w:r>
              <w:rPr>
                <w:rFonts w:hint="eastAsia" w:ascii="宋体" w:hAnsi="宋体" w:eastAsia="宋体" w:cs="宋体"/>
                <w:sz w:val="20"/>
                <w:szCs w:val="20"/>
                <w:highlight w:val="none"/>
              </w:rPr>
              <w:t>上述全部</w:t>
            </w:r>
            <w:r>
              <w:rPr>
                <w:rFonts w:hint="eastAsia" w:ascii="宋体" w:hAnsi="宋体" w:cs="宋体"/>
                <w:sz w:val="20"/>
                <w:szCs w:val="20"/>
                <w:highlight w:val="none"/>
                <w:lang w:val="en-US" w:eastAsia="zh-CN"/>
              </w:rPr>
              <w:t>内容</w:t>
            </w:r>
            <w:r>
              <w:rPr>
                <w:rFonts w:hint="eastAsia" w:ascii="宋体" w:hAnsi="宋体" w:eastAsia="宋体" w:cs="宋体"/>
                <w:sz w:val="20"/>
                <w:szCs w:val="20"/>
                <w:highlight w:val="none"/>
              </w:rPr>
              <w:t>，售后服务方案详细完整，完全满足且优于</w:t>
            </w:r>
            <w:r>
              <w:rPr>
                <w:rFonts w:hint="eastAsia" w:ascii="宋体" w:hAnsi="宋体" w:cs="宋体"/>
                <w:sz w:val="20"/>
                <w:szCs w:val="20"/>
                <w:highlight w:val="none"/>
                <w:lang w:val="en-US" w:eastAsia="zh-CN"/>
              </w:rPr>
              <w:t>采购人</w:t>
            </w:r>
            <w:r>
              <w:rPr>
                <w:rFonts w:hint="eastAsia" w:ascii="宋体" w:hAnsi="宋体" w:eastAsia="宋体" w:cs="宋体"/>
                <w:sz w:val="20"/>
                <w:szCs w:val="20"/>
                <w:highlight w:val="none"/>
              </w:rPr>
              <w:t>需求的，得</w:t>
            </w:r>
            <w:r>
              <w:rPr>
                <w:rFonts w:hint="eastAsia" w:ascii="宋体" w:hAnsi="宋体" w:cs="宋体"/>
                <w:sz w:val="20"/>
                <w:szCs w:val="20"/>
                <w:highlight w:val="none"/>
                <w:lang w:val="en-US" w:eastAsia="zh-CN"/>
              </w:rPr>
              <w:t>5</w:t>
            </w:r>
            <w:r>
              <w:rPr>
                <w:rFonts w:hint="eastAsia" w:ascii="宋体" w:hAnsi="宋体" w:eastAsia="宋体" w:cs="宋体"/>
                <w:sz w:val="20"/>
                <w:szCs w:val="20"/>
                <w:highlight w:val="none"/>
              </w:rPr>
              <w:t xml:space="preserve">分； </w:t>
            </w:r>
          </w:p>
          <w:p w14:paraId="10C5C296">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（2）</w:t>
            </w:r>
            <w:r>
              <w:rPr>
                <w:rFonts w:hint="eastAsia" w:ascii="宋体" w:hAnsi="宋体" w:eastAsia="宋体" w:cs="宋体"/>
                <w:sz w:val="20"/>
                <w:szCs w:val="20"/>
                <w:highlight w:val="none"/>
                <w:lang w:eastAsia="zh-CN"/>
              </w:rPr>
              <w:t>《售后服务承诺书》</w:t>
            </w:r>
            <w:r>
              <w:rPr>
                <w:rFonts w:hint="eastAsia" w:ascii="宋体" w:hAnsi="宋体" w:cs="宋体"/>
                <w:sz w:val="20"/>
                <w:szCs w:val="20"/>
                <w:highlight w:val="none"/>
                <w:lang w:val="en-US" w:eastAsia="zh-CN"/>
              </w:rPr>
              <w:t>包含</w:t>
            </w:r>
            <w:r>
              <w:rPr>
                <w:rFonts w:hint="eastAsia" w:ascii="宋体" w:hAnsi="宋体" w:eastAsia="宋体" w:cs="宋体"/>
                <w:sz w:val="20"/>
                <w:szCs w:val="20"/>
                <w:highlight w:val="none"/>
              </w:rPr>
              <w:t>上述全部</w:t>
            </w:r>
            <w:r>
              <w:rPr>
                <w:rFonts w:hint="eastAsia" w:ascii="宋体" w:hAnsi="宋体" w:cs="宋体"/>
                <w:sz w:val="20"/>
                <w:szCs w:val="20"/>
                <w:highlight w:val="none"/>
                <w:lang w:val="en-US" w:eastAsia="zh-CN"/>
              </w:rPr>
              <w:t>内容</w:t>
            </w:r>
            <w:r>
              <w:rPr>
                <w:rFonts w:hint="eastAsia" w:ascii="宋体" w:hAnsi="宋体" w:eastAsia="宋体" w:cs="宋体"/>
                <w:sz w:val="20"/>
                <w:szCs w:val="20"/>
                <w:highlight w:val="none"/>
              </w:rPr>
              <w:t>，售后服务方案</w:t>
            </w:r>
            <w:r>
              <w:rPr>
                <w:rFonts w:hint="eastAsia" w:ascii="宋体" w:hAnsi="宋体" w:cs="宋体"/>
                <w:sz w:val="20"/>
                <w:szCs w:val="20"/>
                <w:highlight w:val="none"/>
                <w:lang w:val="en-US" w:eastAsia="zh-CN"/>
              </w:rPr>
              <w:t>一般详细</w:t>
            </w:r>
            <w:r>
              <w:rPr>
                <w:rFonts w:hint="eastAsia" w:ascii="宋体" w:hAnsi="宋体" w:eastAsia="宋体" w:cs="宋体"/>
                <w:sz w:val="20"/>
                <w:szCs w:val="20"/>
                <w:highlight w:val="none"/>
              </w:rPr>
              <w:t>完整，</w:t>
            </w:r>
            <w:r>
              <w:rPr>
                <w:rFonts w:hint="eastAsia" w:ascii="宋体" w:hAnsi="宋体" w:cs="宋体"/>
                <w:sz w:val="20"/>
                <w:szCs w:val="20"/>
                <w:highlight w:val="none"/>
                <w:lang w:val="en-US" w:eastAsia="zh-CN"/>
              </w:rPr>
              <w:t>基本</w:t>
            </w:r>
            <w:r>
              <w:rPr>
                <w:rFonts w:hint="eastAsia" w:ascii="宋体" w:hAnsi="宋体" w:eastAsia="宋体" w:cs="宋体"/>
                <w:sz w:val="20"/>
                <w:szCs w:val="20"/>
                <w:highlight w:val="none"/>
              </w:rPr>
              <w:t>满足</w:t>
            </w:r>
            <w:r>
              <w:rPr>
                <w:rFonts w:hint="eastAsia" w:ascii="宋体" w:hAnsi="宋体" w:cs="宋体"/>
                <w:sz w:val="20"/>
                <w:szCs w:val="20"/>
                <w:highlight w:val="none"/>
                <w:lang w:val="en-US" w:eastAsia="zh-CN"/>
              </w:rPr>
              <w:t>采购人</w:t>
            </w:r>
            <w:r>
              <w:rPr>
                <w:rFonts w:hint="eastAsia" w:ascii="宋体" w:hAnsi="宋体" w:eastAsia="宋体" w:cs="宋体"/>
                <w:sz w:val="20"/>
                <w:szCs w:val="20"/>
                <w:highlight w:val="none"/>
              </w:rPr>
              <w:t>需求的，得</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rPr>
              <w:t xml:space="preserve">分； </w:t>
            </w:r>
          </w:p>
          <w:p w14:paraId="298FDE5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（3）</w:t>
            </w:r>
            <w:r>
              <w:rPr>
                <w:rFonts w:hint="eastAsia" w:ascii="宋体" w:hAnsi="宋体" w:eastAsia="宋体" w:cs="宋体"/>
                <w:sz w:val="20"/>
                <w:szCs w:val="20"/>
                <w:highlight w:val="none"/>
                <w:lang w:eastAsia="zh-CN"/>
              </w:rPr>
              <w:t>《售后服务承诺书》</w:t>
            </w:r>
            <w:r>
              <w:rPr>
                <w:rFonts w:hint="eastAsia" w:ascii="宋体" w:hAnsi="宋体" w:cs="宋体"/>
                <w:sz w:val="20"/>
                <w:szCs w:val="20"/>
                <w:highlight w:val="none"/>
                <w:lang w:val="en-US" w:eastAsia="zh-CN"/>
              </w:rPr>
              <w:t>仅包含</w:t>
            </w:r>
            <w:r>
              <w:rPr>
                <w:rFonts w:hint="eastAsia" w:ascii="宋体" w:hAnsi="宋体" w:eastAsia="宋体" w:cs="宋体"/>
                <w:sz w:val="20"/>
                <w:szCs w:val="20"/>
                <w:highlight w:val="none"/>
              </w:rPr>
              <w:t>上述</w:t>
            </w:r>
            <w:r>
              <w:rPr>
                <w:rFonts w:hint="eastAsia" w:ascii="宋体" w:hAnsi="宋体" w:cs="宋体"/>
                <w:sz w:val="20"/>
                <w:szCs w:val="20"/>
                <w:highlight w:val="none"/>
                <w:lang w:val="en-US" w:eastAsia="zh-CN"/>
              </w:rPr>
              <w:t>部分内容</w:t>
            </w:r>
            <w:r>
              <w:rPr>
                <w:rFonts w:hint="eastAsia" w:ascii="宋体" w:hAnsi="宋体" w:eastAsia="宋体" w:cs="宋体"/>
                <w:sz w:val="20"/>
                <w:szCs w:val="20"/>
                <w:highlight w:val="none"/>
              </w:rPr>
              <w:t>，售后服务方案不够详细完整不完全满足</w:t>
            </w:r>
            <w:r>
              <w:rPr>
                <w:rFonts w:hint="eastAsia" w:ascii="宋体" w:hAnsi="宋体" w:cs="宋体"/>
                <w:sz w:val="20"/>
                <w:szCs w:val="20"/>
                <w:highlight w:val="none"/>
                <w:lang w:val="en-US" w:eastAsia="zh-CN"/>
              </w:rPr>
              <w:t>采购人</w:t>
            </w:r>
            <w:r>
              <w:rPr>
                <w:rFonts w:hint="eastAsia" w:ascii="宋体" w:hAnsi="宋体" w:eastAsia="宋体" w:cs="宋体"/>
                <w:sz w:val="20"/>
                <w:szCs w:val="20"/>
                <w:highlight w:val="none"/>
              </w:rPr>
              <w:t>需求的，得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rPr>
              <w:t xml:space="preserve">分； </w:t>
            </w:r>
          </w:p>
          <w:p w14:paraId="391D32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（4）</w:t>
            </w:r>
            <w:r>
              <w:rPr>
                <w:rFonts w:hint="eastAsia" w:ascii="宋体" w:hAnsi="宋体" w:cs="宋体"/>
                <w:sz w:val="20"/>
                <w:szCs w:val="20"/>
                <w:highlight w:val="none"/>
                <w:lang w:val="en-US" w:eastAsia="zh-CN"/>
              </w:rPr>
              <w:t>未提供</w:t>
            </w:r>
            <w:r>
              <w:rPr>
                <w:rFonts w:hint="eastAsia" w:ascii="宋体" w:hAnsi="宋体" w:eastAsia="宋体" w:cs="宋体"/>
                <w:sz w:val="20"/>
                <w:szCs w:val="20"/>
                <w:highlight w:val="none"/>
                <w:lang w:eastAsia="zh-CN"/>
              </w:rPr>
              <w:t>《售后服务承诺书》</w:t>
            </w:r>
            <w:r>
              <w:rPr>
                <w:rFonts w:hint="eastAsia" w:ascii="宋体" w:hAnsi="宋体" w:cs="宋体"/>
                <w:sz w:val="20"/>
                <w:szCs w:val="20"/>
                <w:highlight w:val="none"/>
                <w:lang w:val="en-US" w:eastAsia="zh-CN"/>
              </w:rPr>
              <w:t>的，</w:t>
            </w:r>
            <w:r>
              <w:rPr>
                <w:rFonts w:hint="eastAsia" w:ascii="宋体" w:hAnsi="宋体" w:eastAsia="宋体" w:cs="宋体"/>
                <w:sz w:val="20"/>
                <w:szCs w:val="20"/>
                <w:highlight w:val="none"/>
              </w:rPr>
              <w:t>得0分。</w:t>
            </w:r>
          </w:p>
          <w:p w14:paraId="5EC6A839">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注：</w:t>
            </w:r>
            <w:r>
              <w:rPr>
                <w:rFonts w:hint="eastAsia" w:ascii="宋体" w:hAnsi="宋体" w:eastAsia="宋体" w:cs="宋体"/>
                <w:kern w:val="2"/>
                <w:sz w:val="20"/>
                <w:szCs w:val="20"/>
                <w:highlight w:val="none"/>
                <w:lang w:val="en-US" w:eastAsia="zh-CN" w:bidi="ar-SA"/>
              </w:rPr>
              <w:t>提供</w:t>
            </w:r>
            <w:r>
              <w:rPr>
                <w:rFonts w:hint="eastAsia" w:ascii="宋体" w:hAnsi="宋体" w:eastAsia="宋体" w:cs="宋体"/>
                <w:sz w:val="20"/>
                <w:szCs w:val="20"/>
                <w:highlight w:val="none"/>
                <w:lang w:eastAsia="zh-CN"/>
              </w:rPr>
              <w:t>《售后服务承诺书》</w:t>
            </w:r>
            <w:r>
              <w:rPr>
                <w:rFonts w:hint="eastAsia" w:ascii="宋体" w:hAnsi="宋体" w:cs="宋体"/>
                <w:sz w:val="20"/>
                <w:szCs w:val="20"/>
                <w:highlight w:val="none"/>
                <w:lang w:val="en-US" w:eastAsia="zh-CN"/>
              </w:rPr>
              <w:t>并加盖响应人公章</w:t>
            </w:r>
            <w:r>
              <w:rPr>
                <w:rFonts w:hint="eastAsia" w:ascii="宋体" w:hAnsi="宋体" w:eastAsia="宋体" w:cs="宋体"/>
                <w:kern w:val="2"/>
                <w:sz w:val="20"/>
                <w:szCs w:val="20"/>
                <w:highlight w:val="none"/>
                <w:lang w:val="en-US" w:eastAsia="zh-CN" w:bidi="ar-SA"/>
              </w:rPr>
              <w:t>，</w:t>
            </w:r>
            <w:r>
              <w:rPr>
                <w:rFonts w:hint="eastAsia" w:ascii="宋体" w:hAnsi="宋体" w:cs="宋体"/>
                <w:kern w:val="2"/>
                <w:sz w:val="20"/>
                <w:szCs w:val="20"/>
                <w:highlight w:val="none"/>
                <w:lang w:val="en-US" w:eastAsia="zh-CN" w:bidi="ar-SA"/>
              </w:rPr>
              <w:t>格式自拟。</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7</w:t>
            </w:r>
          </w:p>
        </w:tc>
        <w:tc>
          <w:tcPr>
            <w:tcW w:w="1559" w:type="dxa"/>
            <w:shd w:val="clear" w:color="000000" w:fill="FFFFFF"/>
            <w:noWrap w:val="0"/>
            <w:vAlign w:val="center"/>
          </w:tcPr>
          <w:p w14:paraId="581D05BD">
            <w:pPr>
              <w:tabs>
                <w:tab w:val="decimal" w:pos="315"/>
                <w:tab w:val="left" w:pos="630"/>
              </w:tabs>
              <w:spacing w:line="360" w:lineRule="auto"/>
              <w:ind w:left="-77" w:leftChars="-37" w:right="-73" w:rightChars="-35"/>
              <w:jc w:val="center"/>
              <w:rPr>
                <w:rFonts w:hint="eastAsia" w:ascii="宋体" w:hAnsi="宋体" w:cs="宋体"/>
                <w:sz w:val="18"/>
                <w:szCs w:val="18"/>
              </w:rPr>
            </w:pPr>
            <w:r>
              <w:rPr>
                <w:rFonts w:hint="eastAsia" w:ascii="宋体" w:hAnsi="宋体" w:cs="宋体"/>
                <w:sz w:val="18"/>
                <w:szCs w:val="18"/>
                <w:lang w:val="en-US" w:eastAsia="zh-CN"/>
              </w:rPr>
              <w:t>技术支持与</w:t>
            </w:r>
          </w:p>
          <w:p w14:paraId="01493B66">
            <w:pPr>
              <w:tabs>
                <w:tab w:val="decimal" w:pos="315"/>
                <w:tab w:val="left" w:pos="630"/>
              </w:tabs>
              <w:spacing w:line="360" w:lineRule="auto"/>
              <w:ind w:left="-77" w:leftChars="-37" w:right="-73" w:rightChars="-35"/>
              <w:jc w:val="center"/>
              <w:rPr>
                <w:rFonts w:hint="eastAsia" w:ascii="宋体" w:hAnsi="宋体" w:cs="宋体"/>
                <w:sz w:val="18"/>
                <w:szCs w:val="18"/>
              </w:rPr>
            </w:pPr>
            <w:r>
              <w:rPr>
                <w:rFonts w:hint="eastAsia" w:ascii="宋体" w:hAnsi="宋体" w:cs="宋体"/>
                <w:sz w:val="18"/>
                <w:szCs w:val="18"/>
                <w:lang w:val="en-US" w:eastAsia="zh-CN"/>
              </w:rPr>
              <w:t>培训</w:t>
            </w:r>
          </w:p>
          <w:p w14:paraId="7EA77029">
            <w:pPr>
              <w:tabs>
                <w:tab w:val="decimal" w:pos="315"/>
                <w:tab w:val="left" w:pos="630"/>
              </w:tabs>
              <w:spacing w:line="360" w:lineRule="auto"/>
              <w:ind w:left="-77" w:leftChars="-37" w:right="-73" w:rightChars="-35"/>
              <w:jc w:val="both"/>
              <w:rPr>
                <w:rFonts w:hint="eastAsia" w:ascii="宋体" w:hAnsi="宋体" w:eastAsia="宋体" w:cs="宋体"/>
                <w:sz w:val="20"/>
                <w:szCs w:val="20"/>
                <w:highlight w:val="none"/>
                <w:lang w:val="en-US" w:eastAsia="zh-CN"/>
              </w:rPr>
            </w:pPr>
          </w:p>
        </w:tc>
        <w:tc>
          <w:tcPr>
            <w:tcW w:w="781" w:type="dxa"/>
            <w:shd w:val="clear" w:color="000000" w:fill="FFFFFF"/>
            <w:noWrap w:val="0"/>
            <w:vAlign w:val="center"/>
          </w:tcPr>
          <w:p w14:paraId="1A051202">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5</w:t>
            </w:r>
          </w:p>
        </w:tc>
        <w:tc>
          <w:tcPr>
            <w:tcW w:w="8552" w:type="dxa"/>
            <w:noWrap w:val="0"/>
            <w:vAlign w:val="center"/>
          </w:tcPr>
          <w:p w14:paraId="3D103A00">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评审专家根据响应人针对本项目制定的</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技术</w:t>
            </w:r>
            <w:r>
              <w:rPr>
                <w:rFonts w:hint="eastAsia" w:ascii="宋体" w:hAnsi="宋体" w:cs="宋体"/>
                <w:sz w:val="20"/>
                <w:szCs w:val="20"/>
                <w:highlight w:val="none"/>
                <w:lang w:val="en-US" w:eastAsia="zh-CN"/>
              </w:rPr>
              <w:t>支持与</w:t>
            </w:r>
            <w:r>
              <w:rPr>
                <w:rFonts w:hint="eastAsia" w:ascii="宋体" w:hAnsi="宋体" w:eastAsia="宋体" w:cs="宋体"/>
                <w:sz w:val="20"/>
                <w:szCs w:val="20"/>
                <w:highlight w:val="none"/>
                <w:lang w:val="en-US" w:eastAsia="zh-CN"/>
              </w:rPr>
              <w:t>培训方案</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进行评审</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rPr>
              <w:t>包括但不限于以下内容：</w:t>
            </w:r>
            <w:r>
              <w:rPr>
                <w:rFonts w:hint="eastAsia" w:ascii="宋体" w:hAnsi="宋体" w:eastAsia="宋体" w:cs="宋体"/>
                <w:sz w:val="20"/>
                <w:szCs w:val="20"/>
                <w:highlight w:val="none"/>
                <w:lang w:val="en-US" w:eastAsia="zh-CN"/>
              </w:rPr>
              <w:t>①技术培训组织形式、②培训流程、③培训内容</w:t>
            </w:r>
            <w:r>
              <w:rPr>
                <w:rFonts w:hint="eastAsia" w:ascii="宋体" w:hAnsi="宋体" w:cs="宋体"/>
                <w:sz w:val="20"/>
                <w:szCs w:val="20"/>
                <w:highlight w:val="none"/>
                <w:lang w:val="en-US" w:eastAsia="zh-CN"/>
              </w:rPr>
              <w:t>等</w:t>
            </w:r>
            <w:r>
              <w:rPr>
                <w:rFonts w:hint="eastAsia" w:ascii="宋体" w:hAnsi="宋体" w:eastAsia="宋体" w:cs="宋体"/>
                <w:sz w:val="20"/>
                <w:szCs w:val="20"/>
                <w:highlight w:val="none"/>
                <w:lang w:val="en-US" w:eastAsia="zh-CN"/>
              </w:rPr>
              <w:t xml:space="preserve"> </w:t>
            </w:r>
          </w:p>
          <w:p w14:paraId="1A581B39">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完全覆盖上述全部要求并提供相应方案，方案内容详细，有清晰的组织形式、培训流程安排，详细列出培训涵盖的内容，质量保障内容清晰可行，有利于项目实施的，完全满足且优于用户需求的，得</w:t>
            </w:r>
            <w:r>
              <w:rPr>
                <w:rFonts w:hint="eastAsia" w:ascii="宋体" w:hAnsi="宋体" w:cs="宋体"/>
                <w:sz w:val="20"/>
                <w:szCs w:val="20"/>
                <w:highlight w:val="none"/>
                <w:lang w:val="en-US" w:eastAsia="zh-CN"/>
              </w:rPr>
              <w:t>5</w:t>
            </w:r>
            <w:r>
              <w:rPr>
                <w:rFonts w:hint="eastAsia" w:ascii="宋体" w:hAnsi="宋体" w:eastAsia="宋体" w:cs="宋体"/>
                <w:sz w:val="20"/>
                <w:szCs w:val="20"/>
                <w:highlight w:val="none"/>
                <w:lang w:val="en-US" w:eastAsia="zh-CN"/>
              </w:rPr>
              <w:t xml:space="preserve">分； </w:t>
            </w:r>
          </w:p>
          <w:p w14:paraId="4F4C1CCF">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（2）完全覆盖上述全部要求并提供相应方案，方案内容较详细，列出基本的组织形式、培训流程安排，简要列出培训涵盖的内容，质量保障内容基本清晰可行，有利于项目实施的，</w:t>
            </w:r>
            <w:r>
              <w:rPr>
                <w:rFonts w:hint="eastAsia" w:ascii="宋体" w:hAnsi="宋体" w:cs="宋体"/>
                <w:sz w:val="20"/>
                <w:szCs w:val="20"/>
                <w:highlight w:val="none"/>
                <w:lang w:val="en-US" w:eastAsia="zh-CN"/>
              </w:rPr>
              <w:t>基本</w:t>
            </w:r>
            <w:r>
              <w:rPr>
                <w:rFonts w:hint="eastAsia" w:ascii="宋体" w:hAnsi="宋体" w:eastAsia="宋体" w:cs="宋体"/>
                <w:sz w:val="20"/>
                <w:szCs w:val="20"/>
                <w:highlight w:val="none"/>
                <w:lang w:val="en-US" w:eastAsia="zh-CN"/>
              </w:rPr>
              <w:t>满足用户需求的，得</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lang w:val="en-US" w:eastAsia="zh-CN"/>
              </w:rPr>
              <w:t xml:space="preserve">分； </w:t>
            </w:r>
          </w:p>
          <w:p w14:paraId="0C7BC8E7">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（3）没有完全覆盖上述全部要求，方案内容简陋，未列出组织形式、培训流程安排，列出部分培训内容，质量保障内容不清晰，方案内容不利于项目实施，不完全满足用户需求的，得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 xml:space="preserve">分； </w:t>
            </w:r>
          </w:p>
          <w:p w14:paraId="69A9FC17">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（4）无提供或其他不得分。</w:t>
            </w:r>
          </w:p>
          <w:p w14:paraId="16A3C070">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注：</w:t>
            </w:r>
            <w:r>
              <w:rPr>
                <w:rFonts w:hint="eastAsia" w:ascii="宋体" w:hAnsi="宋体" w:eastAsia="宋体" w:cs="宋体"/>
                <w:kern w:val="2"/>
                <w:sz w:val="20"/>
                <w:szCs w:val="20"/>
                <w:highlight w:val="none"/>
                <w:lang w:val="en-US" w:eastAsia="zh-CN" w:bidi="ar-SA"/>
              </w:rPr>
              <w:t>提供</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技术</w:t>
            </w:r>
            <w:r>
              <w:rPr>
                <w:rFonts w:hint="eastAsia" w:ascii="宋体" w:hAnsi="宋体" w:cs="宋体"/>
                <w:sz w:val="20"/>
                <w:szCs w:val="20"/>
                <w:highlight w:val="none"/>
                <w:lang w:val="en-US" w:eastAsia="zh-CN"/>
              </w:rPr>
              <w:t>支持与</w:t>
            </w:r>
            <w:r>
              <w:rPr>
                <w:rFonts w:hint="eastAsia" w:ascii="宋体" w:hAnsi="宋体" w:eastAsia="宋体" w:cs="宋体"/>
                <w:sz w:val="20"/>
                <w:szCs w:val="20"/>
                <w:highlight w:val="none"/>
                <w:lang w:val="en-US" w:eastAsia="zh-CN"/>
              </w:rPr>
              <w:t>培训方案</w:t>
            </w:r>
            <w:r>
              <w:rPr>
                <w:rFonts w:hint="eastAsia" w:ascii="宋体" w:hAnsi="宋体" w:cs="宋体"/>
                <w:sz w:val="20"/>
                <w:szCs w:val="20"/>
                <w:highlight w:val="none"/>
                <w:lang w:val="en-US" w:eastAsia="zh-CN"/>
              </w:rPr>
              <w:t>》并加盖响应人公章</w:t>
            </w:r>
            <w:r>
              <w:rPr>
                <w:rFonts w:hint="eastAsia" w:ascii="宋体" w:hAnsi="宋体" w:eastAsia="宋体" w:cs="宋体"/>
                <w:kern w:val="2"/>
                <w:sz w:val="20"/>
                <w:szCs w:val="20"/>
                <w:highlight w:val="none"/>
                <w:lang w:val="en-US" w:eastAsia="zh-CN" w:bidi="ar-SA"/>
              </w:rPr>
              <w:t>，</w:t>
            </w:r>
            <w:r>
              <w:rPr>
                <w:rFonts w:hint="eastAsia" w:ascii="宋体" w:hAnsi="宋体" w:cs="宋体"/>
                <w:kern w:val="2"/>
                <w:sz w:val="20"/>
                <w:szCs w:val="20"/>
                <w:highlight w:val="none"/>
                <w:lang w:val="en-US" w:eastAsia="zh-CN" w:bidi="ar-SA"/>
              </w:rPr>
              <w:t>格式自拟。</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lang w:val="en-US" w:eastAsia="zh-CN"/>
              </w:rPr>
              <w:t>0</w:t>
            </w:r>
          </w:p>
        </w:tc>
      </w:tr>
    </w:tbl>
    <w:p w14:paraId="3E8339B9">
      <w:pPr>
        <w:pStyle w:val="2"/>
        <w:rPr>
          <w:rFonts w:hint="eastAsia" w:ascii="宋体" w:hAnsi="宋体"/>
          <w:iCs/>
          <w:sz w:val="30"/>
          <w:szCs w:val="30"/>
          <w:highlight w:val="yellow"/>
        </w:rPr>
      </w:pPr>
    </w:p>
    <w:p w14:paraId="30D3E95D">
      <w:pPr>
        <w:rPr>
          <w:rFonts w:hint="eastAsia"/>
        </w:rPr>
      </w:pPr>
    </w:p>
    <w:p w14:paraId="6D79C971">
      <w:pPr>
        <w:pStyle w:val="2"/>
        <w:rPr>
          <w:rFonts w:hint="eastAsia"/>
          <w:highlight w:val="none"/>
        </w:rPr>
      </w:pPr>
      <w:r>
        <w:rPr>
          <w:rFonts w:hint="eastAsia" w:ascii="宋体" w:hAnsi="宋体"/>
          <w:iCs/>
          <w:sz w:val="30"/>
          <w:szCs w:val="30"/>
          <w:highlight w:val="none"/>
        </w:rPr>
        <w:t>价格评分表</w:t>
      </w:r>
    </w:p>
    <w:tbl>
      <w:tblPr>
        <w:tblStyle w:val="20"/>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sz w:val="20"/>
                <w:szCs w:val="20"/>
                <w:highlight w:val="none"/>
              </w:rPr>
            </w:pPr>
            <w:r>
              <w:rPr>
                <w:rFonts w:hint="eastAsia" w:ascii="宋体" w:hAnsi="宋体" w:eastAsia="宋体" w:cs="宋体"/>
                <w:bCs/>
                <w:sz w:val="20"/>
                <w:szCs w:val="20"/>
                <w:highlight w:val="none"/>
              </w:rPr>
              <w:t>价格得分</w:t>
            </w:r>
          </w:p>
        </w:tc>
        <w:tc>
          <w:tcPr>
            <w:tcW w:w="900" w:type="dxa"/>
            <w:noWrap w:val="0"/>
            <w:vAlign w:val="center"/>
          </w:tcPr>
          <w:p w14:paraId="2DD62B6F">
            <w:pPr>
              <w:spacing w:line="360" w:lineRule="auto"/>
              <w:ind w:firstLine="200" w:firstLineChars="100"/>
              <w:rPr>
                <w:rFonts w:hint="eastAsia" w:ascii="宋体" w:hAnsi="宋体" w:eastAsia="宋体" w:cs="宋体"/>
                <w:bCs/>
                <w:sz w:val="20"/>
                <w:szCs w:val="20"/>
                <w:highlight w:val="none"/>
              </w:rPr>
            </w:pPr>
            <w:r>
              <w:rPr>
                <w:rFonts w:hint="eastAsia" w:ascii="宋体" w:hAnsi="宋体" w:cs="宋体"/>
                <w:bCs/>
                <w:sz w:val="20"/>
                <w:szCs w:val="20"/>
                <w:highlight w:val="none"/>
                <w:lang w:val="en-US" w:eastAsia="zh-CN"/>
              </w:rPr>
              <w:t>5</w:t>
            </w:r>
            <w:r>
              <w:rPr>
                <w:rFonts w:hint="eastAsia" w:ascii="宋体" w:hAnsi="宋体" w:eastAsia="宋体" w:cs="宋体"/>
                <w:bCs/>
                <w:sz w:val="20"/>
                <w:szCs w:val="20"/>
                <w:highlight w:val="none"/>
              </w:rPr>
              <w:t>0</w:t>
            </w:r>
          </w:p>
        </w:tc>
        <w:tc>
          <w:tcPr>
            <w:tcW w:w="8418" w:type="dxa"/>
            <w:noWrap w:val="0"/>
            <w:vAlign w:val="center"/>
          </w:tcPr>
          <w:p w14:paraId="54A62E51">
            <w:pPr>
              <w:spacing w:line="360" w:lineRule="auto"/>
              <w:rPr>
                <w:rFonts w:hint="eastAsia" w:ascii="宋体" w:hAnsi="宋体" w:eastAsia="宋体" w:cs="宋体"/>
                <w:bCs/>
                <w:sz w:val="20"/>
                <w:szCs w:val="20"/>
                <w:highlight w:val="none"/>
              </w:rPr>
            </w:pPr>
            <w:r>
              <w:rPr>
                <w:rFonts w:hint="eastAsia" w:ascii="宋体" w:hAnsi="宋体" w:cs="宋体"/>
                <w:bCs/>
                <w:sz w:val="20"/>
                <w:szCs w:val="20"/>
                <w:highlight w:val="none"/>
                <w:lang w:val="en-US" w:eastAsia="zh-CN"/>
              </w:rPr>
              <w:t>填写本遴选文件格式三《报价一览表》《报价明细表》；响应</w:t>
            </w:r>
            <w:r>
              <w:rPr>
                <w:rFonts w:hint="eastAsia" w:ascii="宋体" w:hAnsi="宋体" w:eastAsia="宋体" w:cs="宋体"/>
                <w:bCs/>
                <w:sz w:val="20"/>
                <w:szCs w:val="20"/>
                <w:highlight w:val="none"/>
              </w:rPr>
              <w:t>价格</w:t>
            </w:r>
            <w:r>
              <w:rPr>
                <w:rFonts w:hint="eastAsia" w:ascii="宋体" w:hAnsi="宋体" w:cs="宋体"/>
                <w:bCs/>
                <w:sz w:val="20"/>
                <w:szCs w:val="20"/>
                <w:highlight w:val="none"/>
                <w:lang w:val="en-US" w:eastAsia="zh-CN"/>
              </w:rPr>
              <w:t>得分＝（评标基准价/响应报价）×价格分值【注：满足遴选文件要求且响应价格最低的响应报价为评标基准价。】</w:t>
            </w:r>
          </w:p>
        </w:tc>
      </w:tr>
      <w:tr w14:paraId="5DF8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038" w:type="dxa"/>
            <w:gridSpan w:val="4"/>
            <w:noWrap w:val="0"/>
            <w:vAlign w:val="center"/>
          </w:tcPr>
          <w:p w14:paraId="727B828D">
            <w:pPr>
              <w:spacing w:line="360" w:lineRule="auto"/>
              <w:rPr>
                <w:rFonts w:hint="default" w:ascii="宋体" w:hAnsi="宋体" w:cs="宋体"/>
                <w:bCs/>
                <w:sz w:val="20"/>
                <w:szCs w:val="20"/>
                <w:highlight w:val="none"/>
                <w:lang w:val="en-US" w:eastAsia="zh-CN"/>
              </w:rPr>
            </w:pPr>
            <w:r>
              <w:rPr>
                <w:rFonts w:hint="eastAsia" w:ascii="宋体" w:hAnsi="宋体" w:cs="宋体"/>
                <w:bCs/>
                <w:sz w:val="20"/>
                <w:szCs w:val="20"/>
                <w:highlight w:val="none"/>
                <w:lang w:val="en-US" w:eastAsia="zh-CN"/>
              </w:rPr>
              <w:t>备注：响应价格=5年租赁费用+15000人份*</w:t>
            </w:r>
            <w:r>
              <w:rPr>
                <w:rFonts w:hint="eastAsia" w:ascii="宋体" w:hAnsi="宋体" w:cs="宋体"/>
                <w:bCs/>
                <w:sz w:val="20"/>
                <w:szCs w:val="20"/>
                <w:highlight w:val="none"/>
              </w:rPr>
              <w:t>每人份检测所需耗材价格</w:t>
            </w:r>
            <w:r>
              <w:rPr>
                <w:rFonts w:hint="eastAsia" w:ascii="宋体" w:hAnsi="宋体" w:cs="宋体"/>
                <w:bCs/>
                <w:sz w:val="20"/>
                <w:szCs w:val="20"/>
                <w:highlight w:val="none"/>
                <w:lang w:val="en-US" w:eastAsia="zh-CN"/>
              </w:rPr>
              <w:t>,租赁价格最高限价为10000元/年，试剂及配套耗材总费用限价为89.3元/人份，超出部分则视为无效报价。</w:t>
            </w:r>
          </w:p>
        </w:tc>
      </w:tr>
    </w:tbl>
    <w:p w14:paraId="03401B24">
      <w:pPr>
        <w:pStyle w:val="41"/>
        <w:spacing w:line="360" w:lineRule="auto"/>
        <w:jc w:val="center"/>
        <w:rPr>
          <w:rFonts w:hint="eastAsia" w:ascii="Times New Roman"/>
          <w:b/>
          <w:kern w:val="2"/>
          <w:sz w:val="36"/>
          <w:szCs w:val="36"/>
          <w:highlight w:val="none"/>
        </w:rPr>
      </w:pPr>
    </w:p>
    <w:p w14:paraId="21F2610C">
      <w:pPr>
        <w:pStyle w:val="41"/>
        <w:spacing w:line="360" w:lineRule="auto"/>
        <w:jc w:val="both"/>
        <w:rPr>
          <w:rFonts w:hint="eastAsia" w:ascii="Times New Roman"/>
          <w:b/>
          <w:kern w:val="2"/>
          <w:sz w:val="36"/>
          <w:szCs w:val="36"/>
          <w:highlight w:val="none"/>
          <w:lang w:val="en-US" w:eastAsia="zh-CN"/>
        </w:rPr>
      </w:pPr>
    </w:p>
    <w:p w14:paraId="1CD5FA12">
      <w:pPr>
        <w:rPr>
          <w:rFonts w:hint="eastAsia" w:ascii="Times New Roman"/>
          <w:b/>
          <w:kern w:val="2"/>
          <w:sz w:val="36"/>
          <w:szCs w:val="36"/>
          <w:highlight w:val="none"/>
          <w:lang w:val="en-US" w:eastAsia="zh-CN"/>
        </w:rPr>
      </w:pPr>
      <w:r>
        <w:rPr>
          <w:rFonts w:hint="eastAsia" w:ascii="Times New Roman"/>
          <w:b/>
          <w:kern w:val="2"/>
          <w:sz w:val="36"/>
          <w:szCs w:val="36"/>
          <w:highlight w:val="none"/>
          <w:lang w:val="en-US" w:eastAsia="zh-CN"/>
        </w:rPr>
        <w:br w:type="page"/>
      </w:r>
    </w:p>
    <w:p w14:paraId="338E6DEA">
      <w:pPr>
        <w:pStyle w:val="41"/>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1"/>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梁</w:t>
      </w:r>
      <w:r>
        <w:rPr>
          <w:rFonts w:hint="eastAsia" w:ascii="宋体" w:hAnsi="宋体"/>
          <w:sz w:val="24"/>
          <w:highlight w:val="none"/>
        </w:rPr>
        <w:t>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w:t>
      </w:r>
      <w:r>
        <w:rPr>
          <w:rFonts w:hint="eastAsia" w:ascii="宋体" w:hAnsi="宋体"/>
          <w:sz w:val="24"/>
          <w:highlight w:val="none"/>
          <w:lang w:eastAsia="zh-CN"/>
        </w:rPr>
        <w:t>采购</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1"/>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65A5358F">
      <w:pPr>
        <w:widowControl/>
        <w:spacing w:line="360" w:lineRule="auto"/>
        <w:jc w:val="center"/>
        <w:rPr>
          <w:rFonts w:hint="default" w:ascii="宋体" w:hAnsi="宋体" w:eastAsia="宋体" w:cs="Times New Roman"/>
          <w:b/>
          <w:color w:val="000000"/>
          <w:sz w:val="32"/>
          <w:szCs w:val="32"/>
          <w:shd w:val="clear" w:color="auto" w:fill="FFFFFF"/>
          <w:lang w:val="en-US" w:eastAsia="zh-CN"/>
        </w:rPr>
      </w:pPr>
      <w:r>
        <w:rPr>
          <w:rFonts w:hint="eastAsia" w:ascii="宋体" w:hAnsi="宋体" w:cs="Times New Roman"/>
          <w:b/>
          <w:color w:val="000000"/>
          <w:sz w:val="32"/>
          <w:szCs w:val="32"/>
          <w:shd w:val="clear" w:color="auto" w:fill="FFFFFF"/>
          <w:lang w:val="en-US" w:eastAsia="zh-CN"/>
        </w:rPr>
        <w:t>设备租赁合同</w:t>
      </w:r>
    </w:p>
    <w:p w14:paraId="4A6EE04A">
      <w:pPr>
        <w:widowControl/>
        <w:spacing w:line="360" w:lineRule="auto"/>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设备租赁服务合同</w:t>
      </w:r>
    </w:p>
    <w:p w14:paraId="6AC1176B">
      <w:pPr>
        <w:widowControl/>
        <w:spacing w:line="360" w:lineRule="auto"/>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 xml:space="preserve">项目编号：    </w:t>
      </w:r>
    </w:p>
    <w:p w14:paraId="30A261B0">
      <w:pPr>
        <w:widowControl/>
        <w:spacing w:line="360" w:lineRule="auto"/>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 xml:space="preserve"> </w:t>
      </w:r>
    </w:p>
    <w:p w14:paraId="08A9D4BF">
      <w:pPr>
        <w:widowControl/>
        <w:spacing w:line="360" w:lineRule="auto"/>
        <w:ind w:firstLine="480" w:firstLineChars="200"/>
        <w:jc w:val="left"/>
        <w:rPr>
          <w:rFonts w:hint="eastAsia" w:ascii="宋体" w:hAnsi="宋体"/>
          <w:b w:val="0"/>
          <w:bCs w:val="0"/>
          <w:color w:val="000000"/>
          <w:sz w:val="24"/>
          <w:szCs w:val="24"/>
          <w:shd w:val="clear" w:color="auto" w:fill="FFFFFF"/>
          <w:lang w:val="en-US" w:eastAsia="zh-CN"/>
        </w:rPr>
      </w:pPr>
      <w:r>
        <w:rPr>
          <w:rFonts w:hint="eastAsia" w:ascii="宋体" w:hAnsi="宋体"/>
          <w:b w:val="0"/>
          <w:bCs w:val="0"/>
          <w:color w:val="000000"/>
          <w:sz w:val="24"/>
          <w:szCs w:val="24"/>
          <w:shd w:val="clear" w:color="auto" w:fill="FFFFFF"/>
        </w:rPr>
        <w:t>签约地：</w:t>
      </w:r>
      <w:r>
        <w:rPr>
          <w:rFonts w:hint="eastAsia" w:ascii="宋体" w:hAnsi="宋体"/>
          <w:b w:val="0"/>
          <w:bCs w:val="0"/>
          <w:color w:val="000000"/>
          <w:sz w:val="24"/>
          <w:szCs w:val="24"/>
          <w:shd w:val="clear" w:color="auto" w:fill="FFFFFF"/>
          <w:lang w:val="en-US" w:eastAsia="zh-CN"/>
        </w:rPr>
        <w:t xml:space="preserve">      </w:t>
      </w:r>
    </w:p>
    <w:p w14:paraId="39BA59D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甲方：</w:t>
      </w:r>
    </w:p>
    <w:p w14:paraId="76F2694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乙方：   </w:t>
      </w:r>
    </w:p>
    <w:p w14:paraId="2AF865A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1. 甲乙双方根据《中华人民共和国民法典》及相关法律法规，在平等互利、协商一致的基础上，订立本合同，供双方共同遵守： </w:t>
      </w:r>
    </w:p>
    <w:p w14:paraId="367CECF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租赁设备</w:t>
      </w:r>
      <w:r>
        <w:rPr>
          <w:rFonts w:hint="eastAsia" w:ascii="宋体" w:hAnsi="宋体"/>
          <w:b w:val="0"/>
          <w:bCs w:val="0"/>
          <w:color w:val="000000"/>
          <w:sz w:val="24"/>
          <w:szCs w:val="24"/>
          <w:shd w:val="clear" w:color="auto" w:fill="FFFFFF"/>
          <w:lang w:val="en-US" w:eastAsia="zh-CN"/>
        </w:rPr>
        <w:t>内容</w:t>
      </w:r>
      <w:r>
        <w:rPr>
          <w:rFonts w:hint="eastAsia" w:ascii="宋体" w:hAnsi="宋体"/>
          <w:b w:val="0"/>
          <w:bCs w:val="0"/>
          <w:color w:val="000000"/>
          <w:sz w:val="24"/>
          <w:szCs w:val="24"/>
          <w:shd w:val="clear" w:color="auto" w:fill="FFFFFF"/>
        </w:rPr>
        <w:t>：</w:t>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 xml:space="preserve"> </w:t>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 xml:space="preserve">  </w:t>
      </w:r>
    </w:p>
    <w:p w14:paraId="2CCF4ED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p>
    <w:p w14:paraId="533F236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1.2租赁期限：自全部设备到货、完成安装调试并经甲乙双方签字确认之日起3年。</w:t>
      </w:r>
    </w:p>
    <w:p w14:paraId="29785E0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1.3合同履行期限：自合同签订之日起至合同全部权利义务履行完毕之日止。</w:t>
      </w:r>
    </w:p>
    <w:p w14:paraId="1C1C86B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1.4合同总价：           元（大写人民币 佰拾万仟佰拾元整(RMB)），每年度费用（共3期）详见《起租确认书》（附件二）。合同总价包括提供的所有租赁设备、硬件设施、软件、人员、场地改造、服务的全部成本以及应向中华人民共和国政府缴纳的增值税和其它税等全部税费、管理和质量保证、运输、保险、检验、现场准备、安装、集成、调试、培训、维修、技术支持、标准附件价、备品备件及专用工具价(如有)、以及履行合同所需的费用、所有风险、责任等其他一切隐含及不可预见的费用。</w:t>
      </w:r>
    </w:p>
    <w:p w14:paraId="2A18478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2. 租赁设备的交货时间与交货地点 </w:t>
      </w:r>
    </w:p>
    <w:p w14:paraId="5AB53A1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乙方在合同生效后的_   _天内将2024年 月后生产的全新的、未使用过的设备运至甲方指定房内。乙方应在设备运至甲方所在地前  5  天书面通知甲方设备主管部门，否则甲方有权不予接收，乙方承担由此发生的一切损失和费用。</w:t>
      </w:r>
    </w:p>
    <w:p w14:paraId="06D7DBB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 租赁设备运输、保险、安装和验收</w:t>
      </w:r>
    </w:p>
    <w:p w14:paraId="3386C97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3.1乙方确保租赁设备安全无损地运抵甲方指定现场，并承担设备的运输、装卸、安装和保险。</w:t>
      </w:r>
    </w:p>
    <w:p w14:paraId="1D1752D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3.2设备的包装均应有良好的防护措施（包括但不仅限于防湿、防锈、防潮、防雨、防腐及防碰撞等）。</w:t>
      </w:r>
    </w:p>
    <w:p w14:paraId="6CAA3B1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3.3甲乙双方共同对设备进行开箱清点检查，如果发现短缺、损坏或有质量、技术等问题，乙方应及时安排更换，按照甲方的要求，采取补足、更换或退货等处理措施，以保证在本合同约定交货期内成功完成合同设备到货。</w:t>
      </w:r>
    </w:p>
    <w:p w14:paraId="0534B5C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3.4设备到货后，乙方应在_</w:t>
      </w:r>
      <w:r>
        <w:rPr>
          <w:rFonts w:hint="eastAsia" w:ascii="宋体" w:hAnsi="宋体"/>
          <w:b w:val="0"/>
          <w:bCs w:val="0"/>
          <w:color w:val="000000"/>
          <w:sz w:val="24"/>
          <w:szCs w:val="24"/>
          <w:shd w:val="clear" w:color="auto" w:fill="FFFFFF"/>
          <w:lang w:val="en-US" w:eastAsia="zh-CN"/>
        </w:rPr>
        <w:t xml:space="preserve"> </w:t>
      </w:r>
      <w:r>
        <w:rPr>
          <w:rFonts w:hint="eastAsia" w:ascii="宋体" w:hAnsi="宋体"/>
          <w:b w:val="0"/>
          <w:bCs w:val="0"/>
          <w:color w:val="000000"/>
          <w:sz w:val="24"/>
          <w:szCs w:val="24"/>
          <w:shd w:val="clear" w:color="auto" w:fill="FFFFFF"/>
        </w:rPr>
        <w:t>__天内安装调试完成，安装时须对各安装场地内的其他设备、设施采取妥善的保护措施。</w:t>
      </w:r>
    </w:p>
    <w:p w14:paraId="43BC7CD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3.5本合同所指的设备及服务应符合合同附件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1B28BF1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3.6如果本合同货物属于《中华人民共和国计量法》规定的强检计量器具的或属于放射类、压力容器类等特种设备的，乙方应在验收交付前提交甲方所在地法定专业检定部门出具的检定证书，检定费用由乙方负责。</w:t>
      </w:r>
    </w:p>
    <w:p w14:paraId="2ED4C81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3.7乙方在完成货物的安装调试和人员的技术培训并确保其稳定运行后，向甲方提出验收申请，若甲方确认项目实施情况符合验收标准，在乙方提出验收申请7日内完成验收。若项目实施情况不满足验收标准，待乙方整改合格后，再向甲方提出验收申请。验收合格之日，双方在《验收合格单》（附件三）上签字确认，且租赁设备的交付即为完成。验收按国家有关的规定、规范进行。验收时如发现所提供的设备有短装、次品、损坏或其它不符合本合同规定之情形者，应在《验收合格单》（附件三）作出详尽的现场记录，并由双方签字确认，作为补充、缺失和更换损坏部件的有效证据。</w:t>
      </w:r>
    </w:p>
    <w:p w14:paraId="08BAF5A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4.付款方式</w:t>
      </w:r>
    </w:p>
    <w:p w14:paraId="1772EC5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4.1合同的每笔款项以电汇或支票方式支付，支付的日期和金额为：</w:t>
      </w:r>
    </w:p>
    <w:p w14:paraId="295C410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4.2全部设备到货、完成安装调试并经甲方、乙方双方签字确认之日为起租日，起租日为第一个支付日，一个年度后为第二个支付日，以此类推；起租日和支付日均由甲方和乙方双方在《起租确认书》上签字确认。</w:t>
      </w:r>
    </w:p>
    <w:p w14:paraId="5762EEB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4.3甲方按照每个支付日，按时足额向乙方支付该期费用，乙方收取当期费用前10个工作日内提供相应金额收据，收取当期费用后3个工作日内提供相应金额发票。</w:t>
      </w:r>
    </w:p>
    <w:p w14:paraId="642DF54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5.履约担保</w:t>
      </w:r>
    </w:p>
    <w:p w14:paraId="5800BC1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5.1是否收取履约保证金：□是，履约保证金金额：/  ☑否</w:t>
      </w:r>
    </w:p>
    <w:p w14:paraId="1698393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5.2乙方应当以支票、汇票、本票或者银行履约保函等非现金形式提交。</w:t>
      </w:r>
    </w:p>
    <w:p w14:paraId="7EB1B54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5.3如果乙方出现/</w:t>
      </w:r>
      <w:bookmarkStart w:id="5" w:name="_GoBack"/>
      <w:bookmarkEnd w:id="5"/>
      <w:r>
        <w:rPr>
          <w:rFonts w:hint="eastAsia" w:ascii="宋体" w:hAnsi="宋体"/>
          <w:b w:val="0"/>
          <w:bCs w:val="0"/>
          <w:color w:val="000000"/>
          <w:sz w:val="24"/>
          <w:szCs w:val="24"/>
          <w:shd w:val="clear" w:color="auto" w:fill="FFFFFF"/>
        </w:rPr>
        <w:t xml:space="preserve">等约定情形的，履约保证金不予退还；如果乙方未能按合同约定全面履行义务，甲方有权从履约保证金中取得补偿或赔偿，且不影响甲方要求乙方承担合同约定的超过履约保证金的违约责任的权利。                           </w:t>
      </w:r>
    </w:p>
    <w:p w14:paraId="43246EB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5.4甲方在项目通过验收后20个工作日内将履约保证金退还乙方；逾期退还的，乙方可要求甲方支付违约金，违约金按照自到期之日起，至实际清偿之日止，以应付未付金额为基数，按应付未付款项的0.05%每日计收支付。</w:t>
      </w:r>
    </w:p>
    <w:p w14:paraId="167EAD9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 租赁设备技术文件</w:t>
      </w:r>
    </w:p>
    <w:p w14:paraId="363122E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6.1乙方应在供货同时向甲方提供所有有关本合同执行的技术文件，包括相应的中文技术文件，如：产品目录、图纸、操作手册、使用说明、维护手册、维修密码或服务指南等。如果项目必需但合同又未作规定的要乙方才能提供的技术文件，乙方也应及时向甲方提供。</w:t>
      </w:r>
    </w:p>
    <w:p w14:paraId="02F6358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6.2上述技术文件应包含保证甲方能够正确进行安装、操作、检查、维修、维护、测试、调试、验收和运作的需要的所有内容。</w:t>
      </w:r>
    </w:p>
    <w:p w14:paraId="135E1CD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6.3甲方完全按照技术文件的指导进行的任何安装、操作、检查维修、维护、测试、调试、验收所引起的系统和/或货物或其部件的损坏由乙方承担责任。</w:t>
      </w:r>
    </w:p>
    <w:p w14:paraId="5DFF839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6.4所有乙方提供的技术文件的全部费用已包含在合同总价中。</w:t>
      </w:r>
    </w:p>
    <w:p w14:paraId="2E45CEE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6.5所有未列明交付时间的乙方应提供的技术文件，必须单独包装伴随货物按货物交付时间交付给甲方。</w:t>
      </w:r>
    </w:p>
    <w:p w14:paraId="1945109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6.6到货后甲方如发现乙方未提供有关文件，可以推迟验收，直至乙方补齐有关文件。</w:t>
      </w:r>
    </w:p>
    <w:p w14:paraId="72B9B1D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7.租赁设备培训服务</w:t>
      </w:r>
    </w:p>
    <w:p w14:paraId="681D2AF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7.1在租赁设备安装和调试完成后，乙方应督促设备生产厂家或其授权的售后服务商提供培训服务，组织专业技术人员对甲方科室使用设备人员和相关管理人员进行培训，并保证两名以上操作人员熟练掌握操作技术为止。</w:t>
      </w:r>
    </w:p>
    <w:p w14:paraId="02A78F7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7.2设备生产厂家或其授权的售后服务商需制定详细的培训内容和培训计划，培训内容包括所有设备的安装和维护、常见故障现象及诊断、常见的问题及解决办法、操作系统软件、系统管理和应用软件、管理软件等。</w:t>
      </w:r>
    </w:p>
    <w:p w14:paraId="725F06F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7.3保修期内如遇设备升级更新，乙方须协调设备生产厂家或其授权的售后服务商需及时提供更新操作指导。</w:t>
      </w:r>
    </w:p>
    <w:p w14:paraId="3441C2F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8.租赁设备质量保证及售后服务</w:t>
      </w:r>
    </w:p>
    <w:p w14:paraId="486C3D5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8.1乙方应保证提供的租赁设备完全符合合同规定的质量、规格和性能要求。乙方应保证设备在正确安装、正常使用和保养条件下，在其使用寿命期内具备合同约定的性能。</w:t>
      </w:r>
    </w:p>
    <w:p w14:paraId="276416D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8.2乙方应督促设备生产厂家或其授权的售后服务商提供售后服务，售后服务承诺函详见附件四。包括以下内容：</w:t>
      </w:r>
    </w:p>
    <w:p w14:paraId="5BF8A50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8.2.1租赁设备的整机保修期    个月，并定期进行预防性维护保养（次数    次/年）以及故障维修、零配件更换。</w:t>
      </w:r>
    </w:p>
    <w:p w14:paraId="4569E65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8.2.2保修期的期限以验收合格之日起计算，在保修期内应确保正常使用率为95%（含）以上，如达不到此要求，即按故障时间（以报修时间起算）的3倍延长保修期。</w:t>
      </w:r>
    </w:p>
    <w:p w14:paraId="0068FD8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8.2.3保修期内报修响应时间   小时以内（含），   小时内（含）维修人员到场（不可抗力除外），   小时内（含）恢复正常使用。若仍未能及时恢复正常使用，应向甲方提供相同规格、标准的备用设备作为临时使用。</w:t>
      </w:r>
    </w:p>
    <w:p w14:paraId="033A643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8.2.4提供设备联网数据接口类型及协议，并完成与甲方医院网络（如PACS系统、HIS系统和体检管理系统）的互联互通。</w:t>
      </w:r>
    </w:p>
    <w:p w14:paraId="4F215F6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8.2.5如果设备的质量或规格与合同不符，或证实设备是有缺陷的，包括潜在的缺陷或使用不符合要求的材料等，乙方应督促设备生产厂家或其授权的售后服务商在接到甲方通知后30天内负责更换符合本合同约定标准的同型号或更优型号设备；同时，相应延长设备保修期。</w:t>
      </w:r>
    </w:p>
    <w:p w14:paraId="7E70763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8.3租赁期限内且保修期过后，甲方承担因租赁设备登记、保管、使用、维护等所产生的一切费用（如有）。</w:t>
      </w:r>
    </w:p>
    <w:p w14:paraId="3F30EA6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8.4乙方、设备生产厂家及其授权的售后服务商有为用户保密的义务，设备病例数据归甲方所有，不得私自泄露相关数据。</w:t>
      </w:r>
    </w:p>
    <w:p w14:paraId="6F55E72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9.租赁设备风险转移</w:t>
      </w:r>
    </w:p>
    <w:p w14:paraId="6BB7CB3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除非另有规定，合同标的风险转移遵守如下约定：</w:t>
      </w:r>
    </w:p>
    <w:p w14:paraId="78A7449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9.1乙方交由承运人运输的在途货物，毁损、灭失的风险由乙方承担。</w:t>
      </w:r>
    </w:p>
    <w:p w14:paraId="7817212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9.2设备毁损、灭失的风险，自起租日起由乙方转移至甲方。</w:t>
      </w:r>
    </w:p>
    <w:p w14:paraId="7115523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9.3因货物验收不合格甲方拒收，或双方已解除合同，货物毁损、灭失的风险由乙方承担。</w:t>
      </w:r>
    </w:p>
    <w:p w14:paraId="76C5739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9.4风险的转移，不影响因乙方履行义务不符合约定，甲方具有要求其承担违约责任的权利。</w:t>
      </w:r>
    </w:p>
    <w:p w14:paraId="4053535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10.知识产权保护</w:t>
      </w:r>
    </w:p>
    <w:p w14:paraId="2BAA6BC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如第三方提出其因租赁设备专利权、商标权或其他知识产权的侵权之诉，则甲乙双方共同向租赁设备制造商追责。</w:t>
      </w:r>
    </w:p>
    <w:p w14:paraId="5201AD8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11.租赁设备的使用和管理</w:t>
      </w:r>
    </w:p>
    <w:p w14:paraId="2733CC7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11.1甲方在不违反其在本合同下所承担之义务的前提下，有权在租期内完全占有、妥善使用租赁设备，并承担因租赁设备登记、保管、使用、维护等产生的一切费用（如有）。</w:t>
      </w:r>
    </w:p>
    <w:p w14:paraId="6E6E845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11.2甲方使用租赁设备应当符合下列条件：</w:t>
      </w:r>
    </w:p>
    <w:p w14:paraId="63B5138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11.2.1仅在《起租确认书》（附件二）列明的使用地点使用租赁设备，未经乙方书面同意，甲方不得将租赁设备用于本合同约定以外的地点；</w:t>
      </w:r>
    </w:p>
    <w:p w14:paraId="0F44B2A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11.2.2符合租赁设备设计用途、租赁设备使用说明以及法律规定；</w:t>
      </w:r>
    </w:p>
    <w:p w14:paraId="290DD69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11.2.3仅为自身正常业务活动使用租赁设备，租赁设备用途符合本合同约定。</w:t>
      </w:r>
    </w:p>
    <w:p w14:paraId="372BBFE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11.3甲方应在交付后尽合理的管理义务使用和保管租赁设备，包括但不限于：</w:t>
      </w:r>
    </w:p>
    <w:p w14:paraId="7FED691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11.3.1保持租赁设备安全运行，并承担因使用或保管不善而产生的必要的修理费等各种费用，确保租赁设备处于良好工作状况（设备正常损耗除外）；</w:t>
      </w:r>
    </w:p>
    <w:p w14:paraId="599F772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11.3.2未经乙方书面同意，甲方不得变更租赁设备组装方式，不得对租赁设备进行任何改动、改造，不得移除租赁设备的任何部分以及附着于租赁设备的任何附件、附品（设备厂商提供的设备软件等性能升级除外）；</w:t>
      </w:r>
    </w:p>
    <w:p w14:paraId="0D4457F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11.3.3不得在租赁设备内或租赁设备外乃至租赁设备附近使用、储存、处理、出现任何危险品或违法物品。</w:t>
      </w:r>
    </w:p>
    <w:p w14:paraId="07D676D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11.4在遵守本合同约定且无任何违约情形的前提下，甲方有权在租赁期间占有、使用租赁设备并获得相应收益。</w:t>
      </w:r>
    </w:p>
    <w:p w14:paraId="36873750">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11.5如租赁设备在交付后出现质量问题或因技术服务缺陷等非甲方的原因导致无法正常使用或租赁设备价值受损时，甲方有义务及时通知乙方采取有效、可行的补救措施。</w:t>
      </w:r>
    </w:p>
    <w:p w14:paraId="632483D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11.6租赁设备交付后，因甲方未尽合理管理义务导致的租赁设备或租赁设备的任何部分、任何部件的遗失或损坏（设备正常损耗除外），影响到租赁设备正常使用的，甲方应对租赁设备进行修复，保证其可正常使用，否则需承担因此造成乙方的全部损失。</w:t>
      </w:r>
    </w:p>
    <w:p w14:paraId="2CF66A8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11.7租赁设备交付后，由于甲方的原因导致租赁设备造成任何第三人人身伤害或财产损失的，由甲方承担全部责任。同时甲方应于获悉上述情形后及时通知乙方。</w:t>
      </w:r>
    </w:p>
    <w:p w14:paraId="7B996AC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11.8经双方沟通约定，在不影响甲方工作的情况下，乙方有权进入租赁设备所在地点，对租赁设备的现状、使用、保管、维护等情形进行检查，甲方予以配合。乙方有权利向甲方了解租赁设备实时状态，甲方有义务向乙方告知租赁设备状态、真实准确位置等信息。</w:t>
      </w:r>
    </w:p>
    <w:p w14:paraId="38408E6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11.9在甲方占用租赁设备期间，甲方应负责获取就其占有、使用租赁设备所需要的所有法律许可，支付法律要求的所有规费和支出（如有），包括但不限于电力、燃气、电话、互联网、所有的政府批准、执照、测试、检查、许可费用。</w:t>
      </w:r>
    </w:p>
    <w:p w14:paraId="43FCDB3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12.租赁设备的所有权和毁损灭失</w:t>
      </w:r>
    </w:p>
    <w:p w14:paraId="7E76CB8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12.1本合同项下租赁设备的所有权完全归乙方所有，甲方仅依据本合同享有租赁设备的占有权、使用权。即使租赁设备附着或嵌入或永久性放置于某项不动产上，乙方仍然是设备的唯一所有权人。</w:t>
      </w:r>
    </w:p>
    <w:p w14:paraId="0EC9155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12.2租赁期间，甲方不得进行下列各项行为：</w:t>
      </w:r>
    </w:p>
    <w:p w14:paraId="135D2DB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12.2.1放弃占有、出售、转让、或以其他方式处分租赁设备；</w:t>
      </w:r>
    </w:p>
    <w:p w14:paraId="7B1CBA0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12.2.2未经乙方书面同意，拆除或掩盖或损坏租赁设备上所有权人标识；</w:t>
      </w:r>
    </w:p>
    <w:p w14:paraId="6659C95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12.2.3在租赁设备上设立抵押、质押、留置等担保利益；</w:t>
      </w:r>
    </w:p>
    <w:p w14:paraId="121CE56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12.2.4以及其他侵害乙方所有权的行为。</w:t>
      </w:r>
    </w:p>
    <w:p w14:paraId="4ECAF15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12.3若乙方需要在租赁设备上放置所有权标识，甲方应当全力配合。甲方不得声明自己为租赁设备所有权人或误导他人认为甲方为所有权人。但是，若中国法律或中国政府部门要求在租赁设备上粘贴或固定使用人标识，则为租赁设备合法合规使用的目的甲方应事先书面告知乙方，甲方可以自付费用按中国法律或中国政府部门要求在租赁设备上粘贴或固定使用人标识。</w:t>
      </w:r>
    </w:p>
    <w:p w14:paraId="07128C2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12.4除非经乙方事先书面同意，甲方不得将租赁设备添附于任何不动产或其他动产。</w:t>
      </w:r>
    </w:p>
    <w:p w14:paraId="2C61E85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12.5本合同期限内，因甲方原因导致的租赁设备毁损或灭失情形的（设备正常损耗及甲方有证据证明损毁或灭失是由于不可抗力造成的除外），甲方应于3个工作日内通知乙方，乙方有权：（1）在租赁设备可修复的情况下，要求甲方自租赁设备毁损之日起在乙方要求的期限内将租赁设备修复至设备毁损前状态；（2）在租赁设备不可修复，或修复成本高于重置成本的情况下，要求甲方自租赁设备毁损或灭失之日起在乙方要求的期限内将租赁设备更换为经乙方认可的与租赁设备同等状态、性能和价值的物件；（3）在前述安排皆不可行的情况下，终止本合同并要求甲方赔偿相应实际损失。甲方承担前述安排所需的合理费用，在处理期间甲方在本合同项下的各项义务的履行不受任何影响。</w:t>
      </w:r>
    </w:p>
    <w:p w14:paraId="7283BE2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12.6若发生本合同第12.5款约定的情形甲方更换租赁设备的，更换后的设备自动成为本合同项下租赁设备，乙方自动取得更换后的租赁设备所有权，甲方应向乙方提供更换后的租赁设备相关权属文件（如有），并按本合同约定办理租赁设备相关标识、登记等。被更换的租赁设备按“现时现状”自动转归甲方所有，并由甲方自担费用自行处理，乙方不承担任何责任和义务。</w:t>
      </w:r>
    </w:p>
    <w:p w14:paraId="1B8897F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13.陈述和保证</w:t>
      </w:r>
    </w:p>
    <w:p w14:paraId="0A5ECF4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13.1本合同乙方、甲方做如下陈述和保证：</w:t>
      </w:r>
    </w:p>
    <w:p w14:paraId="2AC4704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13.1.1双方均根据中国法律设立并有效存续；</w:t>
      </w:r>
    </w:p>
    <w:p w14:paraId="7578813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13.1.2双方具有签署及履行本合同的权利；均已经取得签署及履行本合同所需的内部和外部批准、同意或许可；</w:t>
      </w:r>
    </w:p>
    <w:p w14:paraId="3611A74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13.1.3双方提供的任何信息均为真实、准确和完整的，并无重大遗漏和误导性陈述。</w:t>
      </w:r>
    </w:p>
    <w:p w14:paraId="06D151A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13.2甲方进一步保证：</w:t>
      </w:r>
    </w:p>
    <w:p w14:paraId="0D2087A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13.2.1甲方不会行使任何侵犯、损害或影响乙方享有租赁设备所有权的行为；</w:t>
      </w:r>
    </w:p>
    <w:p w14:paraId="14A62DB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13.2.2保护租赁设备不受损害，租赁设备遭受或可能遭受损失时，采取一切必要措施防止损失扩大或防止该等损失发生；</w:t>
      </w:r>
    </w:p>
    <w:p w14:paraId="0121544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13.2.3若发生可能影响甲方履行本合同能力的情况，包括但不限于被申请财产保全、强制执行或其他执行措施；被有权机关处罚、被责令整改；申请或被申请破产等情形，甲方应立即书面通知乙方。</w:t>
      </w:r>
    </w:p>
    <w:p w14:paraId="7642D94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13.3乙方进一步保证：</w:t>
      </w:r>
    </w:p>
    <w:p w14:paraId="3A0B686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13.3.1在本合同有效期限内，乙方保证甲方对租赁设备完整的占有权和使用权；</w:t>
      </w:r>
    </w:p>
    <w:p w14:paraId="123B621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13.3.2乙方应确保与租赁设备的生产厂家或其授权的售后服务商所约定的租赁设备保修期真实有效；</w:t>
      </w:r>
    </w:p>
    <w:p w14:paraId="165A7FB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13.3.3若发生可能影响乙方履行本合同能力的情况，包括但不限于被申请财产保全、强制执行或其他执行措施；被有权机关处罚、被责令整改；申请或被申请破产等情形，乙方应立即书面通知甲方。</w:t>
      </w:r>
    </w:p>
    <w:p w14:paraId="19DE841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13.4除上述陈述和保证外，乙方不对租赁设备具有适销性或符合甲方特定使用目的进行保证及承诺。</w:t>
      </w:r>
    </w:p>
    <w:p w14:paraId="70D9E0E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14.违约责任</w:t>
      </w:r>
    </w:p>
    <w:p w14:paraId="0284CEB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14.1双方保证严格履行本合同各项条款，任何一方违反本合同有关条款或保证时，应承担相应的违约责任，赔偿守约方所遭受的实际损失。</w:t>
      </w:r>
    </w:p>
    <w:p w14:paraId="498012C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14.2甲方发生以下情况之一的，即构成根本违约：</w:t>
      </w:r>
    </w:p>
    <w:p w14:paraId="4A79BC4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14.2.1甲方未按时足额支付每期费用，超过30日仍未纠正；</w:t>
      </w:r>
    </w:p>
    <w:p w14:paraId="6831134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14.2.2因甲方原因导致的租赁设备毁损或灭失情形，经乙方书面通知后十日内仍未采取措施纠正；</w:t>
      </w:r>
    </w:p>
    <w:p w14:paraId="4D281F8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14.2.3违反本合同第12.2款的约定侵害乙方租赁设备所有权，经乙方书面通知后十日内仍未采取措施纠正。</w:t>
      </w:r>
    </w:p>
    <w:p w14:paraId="60328AF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14.3发生本合同第14.2款约定的情形时，乙方有权采取解除合同，收回租赁设备或停止继续交付租赁设备，并要求甲方支付以下款项的方式或其他法律允许的方式维护权益：</w:t>
      </w:r>
    </w:p>
    <w:p w14:paraId="625B77F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(1)截至本合同解除之日的甲方以下应付款项：a.全部已到期未付每期费用、b.逾期利息（自到期之日起，至实际清偿之日止，以已到期未付金额为基数，按已到期未付金额的0.05%每日计收）；</w:t>
      </w:r>
    </w:p>
    <w:p w14:paraId="60D710F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(2)未到期应付每期费用；</w:t>
      </w:r>
    </w:p>
    <w:p w14:paraId="62C75C70">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(3)本合同第14.1款约定的款项。</w:t>
      </w:r>
    </w:p>
    <w:p w14:paraId="0114949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14.4乙方发生以下情况之一的，即构成根本违约：</w:t>
      </w:r>
    </w:p>
    <w:p w14:paraId="5365A8F0">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14.4.1乙方未按时提供本合同指定的租赁设备，超过30日仍未纠正；</w:t>
      </w:r>
    </w:p>
    <w:p w14:paraId="5139370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14.4.2因乙方原因导致租赁设备被没收、扣押、保全、执行等情形导致甲方无法按本合同约定占有并使用该设备的。</w:t>
      </w:r>
    </w:p>
    <w:p w14:paraId="02D4F520">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14.5发生本合同第14.4款约定的情形时，甲方有权采取解除合同，停止继续支付租赁设备费用，并要求乙方支付以下款项的方式或其他法律允许的方式维护权益：</w:t>
      </w:r>
    </w:p>
    <w:p w14:paraId="2A1131F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（1）违约金（自发生本合同第14.4款约定的情形之日起，至违约行为消除之日止，以甲方应支付的当期费用金额为基数，按0.05%每日计收）；</w:t>
      </w:r>
    </w:p>
    <w:p w14:paraId="2617C22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（2）本合同第14.1款约定的款项。</w:t>
      </w:r>
    </w:p>
    <w:p w14:paraId="639FDEB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15.转让</w:t>
      </w:r>
    </w:p>
    <w:p w14:paraId="425A07D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15.1.未经乙方事先书面同意，甲方不得转让本合同项下任何权利或义务，但甲方授权其关联单位或机构对租赁设备行使使用权的情况除外。</w:t>
      </w:r>
    </w:p>
    <w:p w14:paraId="7CD95F8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15.2.未经甲方事先书面同意，乙方不得部分或全部转让及以其他方式处分其在本合同项下任何权利或义务。</w:t>
      </w:r>
    </w:p>
    <w:p w14:paraId="2CD5735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16.不可抗力</w:t>
      </w:r>
    </w:p>
    <w:p w14:paraId="227DC26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16.1不可抗力指本合同签订后发生的一方不能预见、不能避免、不能克服的客观事件，如地震、台风、水灾等其他自然灾害，军事行动、战争、暴乱及恐怖活动，爆炸、瘟疫等。</w:t>
      </w:r>
    </w:p>
    <w:p w14:paraId="2423D80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16.2发生不可抗力，受影响的一方应及时书面通知对方并在可能的情况下采取补救措施以减少损失。不可抗力结束之日起三十日内，受影响的一方应向对方提供有关机关出具的不可抗力相关证明。</w:t>
      </w:r>
    </w:p>
    <w:p w14:paraId="0A6D744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16.3发生不可抗力后，一方有权根据受影响的对方提供的发生不可抗力事件证明、无法履行合同证明、防止损失扩大证明以及申请延期履行或减免违约责任的书面申请，结合不可抗力对受影响的一方履约行为的实际影响，酌情作出是否延期履行或减免违约责任的决定。因受影响的一方未及时采取措施防止损失扩大的，不得以不可抗力为由主张减免本合同项下任何责任。</w:t>
      </w:r>
    </w:p>
    <w:p w14:paraId="415D8DA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16.4受影响的一方在不可抗力发生前发生违约的，受影响的一方不得以不可抗力为由主张减免本合同项下任何款项，亦不得以不可抗力为由解除本合同。</w:t>
      </w:r>
    </w:p>
    <w:p w14:paraId="10E0D23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17.通知与送达</w:t>
      </w:r>
    </w:p>
    <w:p w14:paraId="52A13BC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17.1双方确认本合同所载通讯地址和联系方式作为本合同项下对方通知事项、商业信函、法律文件以及所涉债务/担保义务的催收和诉讼/仲裁/公证等文书的送达地址。</w:t>
      </w:r>
    </w:p>
    <w:p w14:paraId="1AE799B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各方同意并确认，对方、法院和仲裁机构有关书面通知、文件等，以邮寄方式寄送至本合同所载明之通讯地址从邮件寄送之日起七天后视为送达。</w:t>
      </w:r>
    </w:p>
    <w:p w14:paraId="12D89F4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上述通讯地址和联系方式适用至本合同履行完毕或争议经过一审、二审、再审、执行或仲裁程序至案件执行终结且各方权利全部实现时止。</w:t>
      </w:r>
    </w:p>
    <w:p w14:paraId="6012B75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17.2若双方纠纷进入仲裁、诉讼、强制执行公证程序后，如对方应诉并直接向仲裁机构、法院提交送达地址确认书，该确认地址与诉前确认的送达地址不一致的，以向仲裁机构、法院提交确认的送达地址为准（该送达地址适用本条约定的送达方式及送达的法律后果）。</w:t>
      </w:r>
    </w:p>
    <w:p w14:paraId="6A47F55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17.3各方承诺：己方确认的通讯地址和联系方式真实有效，如有错误，导致的商业信函和法律文书送达不能的法律后果由己方承担。如上述送达地址有变更的，己方应当及时以书面方式通知对方并重新确认送达地址，如未及时通知的，视为未变更，相关责任由己方自行承担。对方在任何情况下均无需对因此导致邮递、传真、电话或任何其他通讯系统所出现的传送失误、缺漏或延迟承担任何责任。</w:t>
      </w:r>
    </w:p>
    <w:p w14:paraId="2EC0E1F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18.法律适用与争议解决</w:t>
      </w:r>
    </w:p>
    <w:p w14:paraId="4FDAD70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18.1本合同适用中国法律（就本合同的意义而言，不包括香港、澳门和台湾地区的法律）并根据中国法律解释。</w:t>
      </w:r>
    </w:p>
    <w:p w14:paraId="1A735EE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18.2双方如在履行合同中发生任何纠纷，均以上述交付验收标准作为解决依据。首先应友好协商；协商不成，应向甲方所在地法院起诉。</w:t>
      </w:r>
    </w:p>
    <w:p w14:paraId="66A0E76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19.合同的生效、变更、解除与终止</w:t>
      </w:r>
    </w:p>
    <w:p w14:paraId="25C9828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19.1本合同经各方法定代表人或授权代表签字（或盖人名章）并加盖各方公章或合同专用章后生效，合同签署日期以较迟签注的日期为准，至本合同项下双方全部权利义务履行完毕之日终止。</w:t>
      </w:r>
    </w:p>
    <w:p w14:paraId="6539F4B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19.2本合同一式    份，以中文书就，甲方执叁份、乙方执    份，具有相同的法律效力。</w:t>
      </w:r>
    </w:p>
    <w:p w14:paraId="21FF53C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19.3本合同生效后，各方如需变更或解除本合同，应达成书面协议。书面协议达成之前，本合同继续执行。</w:t>
      </w:r>
    </w:p>
    <w:p w14:paraId="081C2F8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19.4条款的可分割性：本合同任何条款的无效均不影响其他条款的法律效力。</w:t>
      </w:r>
    </w:p>
    <w:p w14:paraId="33AA1B3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20.附则</w:t>
      </w:r>
    </w:p>
    <w:p w14:paraId="52A9C22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20.1本合同未尽事宜，各方另订补充协议。</w:t>
      </w:r>
    </w:p>
    <w:p w14:paraId="3E54C55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20.2本合同附件、招标文件、投标文件、承诺书、成交通知书及因履行本合同而签订的变更、补充协议及其他相关文件，或者依据本合同做出的一切通知、函件，均应视为本合同不可分割的组成部分。</w:t>
      </w:r>
    </w:p>
    <w:p w14:paraId="6BD1388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20.3本合同为各方就本合同约定事宜达成的一致协议，取代先前各方之间与该等事宜有关的任何口头或书面谅解、承诺、协议或陈述。</w:t>
      </w:r>
    </w:p>
    <w:p w14:paraId="735B200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20.4除本合同另有约定，本合同所涉及每期费用等甲方的应付款项均为含税价。</w:t>
      </w:r>
    </w:p>
    <w:p w14:paraId="5D92868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21.特别规定：    无     </w:t>
      </w:r>
    </w:p>
    <w:p w14:paraId="0889117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（以下为签字页，无正文）</w:t>
      </w:r>
    </w:p>
    <w:p w14:paraId="51724DE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甲方： </w:t>
      </w:r>
      <w:r>
        <w:rPr>
          <w:rFonts w:hint="eastAsia" w:ascii="宋体" w:hAnsi="宋体"/>
          <w:b w:val="0"/>
          <w:bCs w:val="0"/>
          <w:color w:val="000000"/>
          <w:sz w:val="24"/>
          <w:szCs w:val="24"/>
          <w:shd w:val="clear" w:color="auto" w:fill="FFFFFF"/>
          <w:lang w:val="en-US" w:eastAsia="zh-CN"/>
        </w:rPr>
        <w:t xml:space="preserve">                      </w:t>
      </w:r>
      <w:r>
        <w:rPr>
          <w:rFonts w:hint="eastAsia" w:ascii="宋体" w:hAnsi="宋体"/>
          <w:b w:val="0"/>
          <w:bCs w:val="0"/>
          <w:color w:val="000000"/>
          <w:sz w:val="24"/>
          <w:szCs w:val="24"/>
          <w:shd w:val="clear" w:color="auto" w:fill="FFFFFF"/>
        </w:rPr>
        <w:t xml:space="preserve">         乙方：                  </w:t>
      </w:r>
    </w:p>
    <w:p w14:paraId="6290BE9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（盖章）                             （盖章）</w:t>
      </w:r>
    </w:p>
    <w:p w14:paraId="3E24F8D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甲方法定代表人或授权委托人                乙方法定代表人或授权委托人</w:t>
      </w:r>
    </w:p>
    <w:p w14:paraId="1B12266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___________________                       ____________________</w:t>
      </w:r>
    </w:p>
    <w:p w14:paraId="7205AE7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通讯地址：</w:t>
      </w:r>
      <w:r>
        <w:rPr>
          <w:rFonts w:hint="eastAsia" w:ascii="宋体" w:hAnsi="宋体"/>
          <w:b w:val="0"/>
          <w:bCs w:val="0"/>
          <w:color w:val="000000"/>
          <w:sz w:val="24"/>
          <w:szCs w:val="24"/>
          <w:shd w:val="clear" w:color="auto" w:fill="FFFFFF"/>
          <w:lang w:val="en-US" w:eastAsia="zh-CN"/>
        </w:rPr>
        <w:t xml:space="preserve">               </w:t>
      </w:r>
      <w:r>
        <w:rPr>
          <w:rFonts w:hint="eastAsia" w:ascii="宋体" w:hAnsi="宋体"/>
          <w:b w:val="0"/>
          <w:bCs w:val="0"/>
          <w:color w:val="000000"/>
          <w:sz w:val="24"/>
          <w:szCs w:val="24"/>
          <w:shd w:val="clear" w:color="auto" w:fill="FFFFFF"/>
        </w:rPr>
        <w:t xml:space="preserve">  通讯地址：           </w:t>
      </w:r>
    </w:p>
    <w:p w14:paraId="53914D5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                                                                          </w:t>
      </w:r>
    </w:p>
    <w:p w14:paraId="09D664A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联系电话：</w:t>
      </w:r>
      <w:r>
        <w:rPr>
          <w:rFonts w:hint="eastAsia" w:ascii="宋体" w:hAnsi="宋体"/>
          <w:b w:val="0"/>
          <w:bCs w:val="0"/>
          <w:color w:val="000000"/>
          <w:sz w:val="24"/>
          <w:szCs w:val="24"/>
          <w:shd w:val="clear" w:color="auto" w:fill="FFFFFF"/>
          <w:lang w:val="en-US" w:eastAsia="zh-CN"/>
        </w:rPr>
        <w:t xml:space="preserve">         </w:t>
      </w:r>
      <w:r>
        <w:rPr>
          <w:rFonts w:hint="eastAsia" w:ascii="宋体" w:hAnsi="宋体"/>
          <w:b w:val="0"/>
          <w:bCs w:val="0"/>
          <w:color w:val="000000"/>
          <w:sz w:val="24"/>
          <w:szCs w:val="24"/>
          <w:shd w:val="clear" w:color="auto" w:fill="FFFFFF"/>
        </w:rPr>
        <w:t xml:space="preserve">     联系电话：</w:t>
      </w:r>
    </w:p>
    <w:p w14:paraId="4CC35DE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日期：     年    月    日        日期：     年    月    日</w:t>
      </w:r>
    </w:p>
    <w:p w14:paraId="303B1F4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开户银行：             开户银行：   </w:t>
      </w:r>
    </w:p>
    <w:p w14:paraId="626A3335">
      <w:pPr>
        <w:widowControl/>
        <w:spacing w:line="360" w:lineRule="auto"/>
        <w:ind w:firstLine="480" w:firstLineChars="200"/>
        <w:jc w:val="left"/>
        <w:rPr>
          <w:rFonts w:hint="eastAsia" w:ascii="宋体" w:hAnsi="宋体" w:eastAsia="宋体" w:cs="Times New Roman"/>
          <w:b/>
          <w:color w:val="000000"/>
          <w:sz w:val="32"/>
          <w:szCs w:val="32"/>
          <w:shd w:val="clear" w:color="auto" w:fill="FFFFFF"/>
        </w:rPr>
      </w:pPr>
      <w:r>
        <w:rPr>
          <w:rFonts w:hint="eastAsia" w:ascii="宋体" w:hAnsi="宋体"/>
          <w:b w:val="0"/>
          <w:bCs w:val="0"/>
          <w:color w:val="000000"/>
          <w:sz w:val="24"/>
          <w:szCs w:val="24"/>
          <w:shd w:val="clear" w:color="auto" w:fill="FFFFFF"/>
        </w:rPr>
        <w:t xml:space="preserve">账号：               账号：     </w:t>
      </w:r>
      <w:r>
        <w:rPr>
          <w:rFonts w:hint="eastAsia" w:ascii="宋体" w:hAnsi="宋体"/>
          <w:b/>
          <w:color w:val="000000"/>
          <w:sz w:val="32"/>
          <w:szCs w:val="32"/>
          <w:shd w:val="clear" w:color="auto" w:fill="FFFFFF"/>
        </w:rPr>
        <w:t xml:space="preserve">       </w:t>
      </w:r>
    </w:p>
    <w:p w14:paraId="075E0BF2">
      <w:pPr>
        <w:widowControl/>
        <w:spacing w:line="360" w:lineRule="auto"/>
        <w:jc w:val="center"/>
        <w:rPr>
          <w:rFonts w:hint="eastAsia" w:ascii="宋体" w:hAnsi="宋体" w:eastAsia="宋体" w:cs="Times New Roman"/>
          <w:b/>
          <w:color w:val="000000"/>
          <w:sz w:val="32"/>
          <w:szCs w:val="32"/>
          <w:shd w:val="clear" w:color="auto" w:fill="FFFFFF"/>
        </w:rPr>
      </w:pPr>
    </w:p>
    <w:p w14:paraId="03C231ED">
      <w:pPr>
        <w:widowControl/>
        <w:spacing w:line="360" w:lineRule="auto"/>
        <w:jc w:val="center"/>
        <w:rPr>
          <w:rFonts w:ascii="宋体" w:hAnsi="宋体" w:eastAsia="宋体" w:cs="Times New Roman"/>
          <w:b/>
          <w:color w:val="000000"/>
          <w:sz w:val="32"/>
          <w:szCs w:val="32"/>
          <w:shd w:val="clear" w:color="auto" w:fill="FFFFFF"/>
        </w:rPr>
      </w:pPr>
      <w:r>
        <w:rPr>
          <w:rFonts w:hint="eastAsia" w:ascii="宋体" w:hAnsi="宋体" w:eastAsia="宋体" w:cs="Times New Roman"/>
          <w:b/>
          <w:color w:val="000000"/>
          <w:sz w:val="32"/>
          <w:szCs w:val="32"/>
          <w:shd w:val="clear" w:color="auto" w:fill="FFFFFF"/>
        </w:rPr>
        <w:t>医用耗材购销合同</w:t>
      </w:r>
    </w:p>
    <w:p w14:paraId="6077F3A4">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甲方(医疗机构)：中山市中医院</w:t>
      </w:r>
    </w:p>
    <w:p w14:paraId="53AEF8D8">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乙方(经销企业)：</w:t>
      </w:r>
    </w:p>
    <w:p w14:paraId="4F23A008">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根据《中华人民共和国民法典》、《医疗器械监督管理条例》，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网上交易的顺利进行，明确交易各方的权利和义务，特订立本合同。</w:t>
      </w:r>
    </w:p>
    <w:p w14:paraId="7406BA72">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第一条交易方式</w:t>
      </w:r>
    </w:p>
    <w:p w14:paraId="02660BD2">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甲方、乙方通过广东省药品交易中心有限公司的第三方药品电子交易平台（以下简称：“交易平台”，https://www.gdmede.cn）按下述第2种方式进行医用耗材交易：</w:t>
      </w:r>
    </w:p>
    <w:p w14:paraId="2247A904">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1、网上竞价</w:t>
      </w:r>
    </w:p>
    <w:p w14:paraId="14B6F442">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2、网上议价</w:t>
      </w:r>
    </w:p>
    <w:p w14:paraId="75651190">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第二条合同标的</w:t>
      </w:r>
    </w:p>
    <w:p w14:paraId="23A9A69F">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交易医用耗材的名称、品种、规格、型号、材质、功能、交易价格、生产企业等见本合同附件之</w:t>
      </w:r>
      <w:r>
        <w:rPr>
          <w:rFonts w:hint="eastAsia" w:ascii="宋体" w:hAnsi="宋体"/>
          <w:color w:val="000000"/>
          <w:sz w:val="24"/>
          <w:shd w:val="clear" w:color="auto" w:fill="FFFFFF"/>
        </w:rPr>
        <w:t>“医用耗材采购明细表”</w:t>
      </w:r>
      <w:r>
        <w:rPr>
          <w:rFonts w:hint="eastAsia" w:ascii="宋体" w:hAnsi="宋体" w:eastAsia="宋体" w:cs="Times New Roman"/>
          <w:color w:val="000000"/>
          <w:sz w:val="24"/>
          <w:shd w:val="clear" w:color="auto" w:fill="FFFFFF"/>
        </w:rPr>
        <w:t>。</w:t>
      </w:r>
    </w:p>
    <w:p w14:paraId="0CCB24F2">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第三条质量标准</w:t>
      </w:r>
    </w:p>
    <w:p w14:paraId="3F3C4161">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1、乙方向甲方供应的医用耗材必须符合国家的质量标准和有关要求。</w:t>
      </w:r>
    </w:p>
    <w:p w14:paraId="7B0A07ED">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2、乙方供应的全部医用耗材应按国家标准保护措施进行包装、储存、运输，以防止医用耗材在配送过程中损坏或变质，确保医用耗材安全无损运抵交货地点。</w:t>
      </w:r>
    </w:p>
    <w:p w14:paraId="01F8104A">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3、甲方可根据《交易办法》要求乙方提供其与交易有关的证明文件，包括所提供的医用耗材的医疗器械注册证或第一类产品备案凭证、注册产品标准，以及检验报告等相关文件。</w:t>
      </w:r>
    </w:p>
    <w:p w14:paraId="52199F64">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第四条订货与交货</w:t>
      </w:r>
    </w:p>
    <w:p w14:paraId="34B99074">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1、本合同签订后，甲方应在合同有效期内完成本合同约定采购量，乙方应按本合同约定及具体订单中的要求及时、足量供应医用耗材。</w:t>
      </w:r>
    </w:p>
    <w:p w14:paraId="11886F9A">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甲方通过交易平台发出具体订单，乙方收到订单后应于4个小时内在交易平台响应。根据一般医用耗材、急（抢）救医用耗材的轻重缓急程度，积极安排配送。急（抢）救医用耗材4小时内送达，节假日照常配送；一般医用耗材24小时内送到，最长不超过48小时。</w:t>
      </w:r>
    </w:p>
    <w:p w14:paraId="5AE1B323">
      <w:pPr>
        <w:widowControl/>
        <w:spacing w:line="360" w:lineRule="auto"/>
        <w:ind w:firstLine="480" w:firstLineChars="200"/>
        <w:jc w:val="left"/>
        <w:rPr>
          <w:rFonts w:hint="eastAsia" w:ascii="宋体" w:hAnsi="宋体" w:eastAsia="宋体" w:cs="Times New Roman"/>
          <w:color w:val="000000"/>
          <w:sz w:val="24"/>
          <w:highlight w:val="yellow"/>
          <w:shd w:val="clear" w:color="auto" w:fill="FFFFFF"/>
          <w:lang w:eastAsia="zh-CN"/>
        </w:rPr>
      </w:pPr>
      <w:r>
        <w:rPr>
          <w:rFonts w:hint="eastAsia" w:ascii="宋体" w:hAnsi="宋体" w:eastAsia="宋体" w:cs="Times New Roman"/>
          <w:color w:val="000000"/>
          <w:sz w:val="24"/>
          <w:shd w:val="clear" w:color="auto" w:fill="FFFFFF"/>
        </w:rPr>
        <w:t>3、乙方配送医用耗材的品种、规格、型号、材质、数量等必须严格按照甲方发送的订单执行。</w:t>
      </w:r>
    </w:p>
    <w:p w14:paraId="3706696F">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第五条医用耗材验收</w:t>
      </w:r>
    </w:p>
    <w:p w14:paraId="12BAB2D3">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1、甲方在接收医用耗材时，应对医用耗材进行验货确认，对不符合合同要求的，甲方有权拒绝接收。乙方应及时更换被拒绝的医用耗材，不得影响甲方的临床使用。</w:t>
      </w:r>
    </w:p>
    <w:p w14:paraId="746A0733">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为保证医用耗材质量，避免造成医用耗材的浪费，甲方接收医用耗材后应妥善储存和管理。如因医用耗材本身的质量造成的一切损失由乙方承担全部责任；如因甲方库存条件不符合医用耗材正常储存，造成的医用耗材出现质量问题，由甲方承担全部责任。</w:t>
      </w:r>
    </w:p>
    <w:p w14:paraId="773F449D">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3、甲方接收医用耗材后，若发现医用耗材非因甲方原因而存在质量缺陷的，甲方应及时通报乙方。</w:t>
      </w:r>
    </w:p>
    <w:p w14:paraId="23D43899">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甲方履行通知义务后，乙方对医用耗材质量归责无争议的，甲方有权单方终止本合同中该型号医用耗材交易的继续履行，并退回已接收但未使用的剩余医用耗材给乙方，由此造成的所有损失由乙方承担。</w:t>
      </w:r>
    </w:p>
    <w:p w14:paraId="6E928B4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各方对医用耗材质量问题的责任方存在争议时，应送甲方所在地国家食品药品监督管理总局认定的医疗器械质量监督检验机构检验。如送检医用耗材存在质量问题，甲方有权据此单方终止本合同项下该型号耗材的后续采购，检验费用由乙方承担，并互负连带责任；如送检医用耗材无质量问题，本合同项下该型号耗材的交易继续履行，检验费用由甲方独自承担。</w:t>
      </w:r>
    </w:p>
    <w:p w14:paraId="37AD728B">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第六条交易价款结算</w:t>
      </w:r>
    </w:p>
    <w:p w14:paraId="5EE66E91">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交易价格：按甲乙双方在交易平台达成的交易价格执行（具体见本合同附件之采购医用耗材明细表中的交易价），该价格包含耗材制造成本、运输、包装、附随服务等费用、税费及其他一切附加费用以及利润。</w:t>
      </w:r>
    </w:p>
    <w:p w14:paraId="22A834DC">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2、本合同履行期间，如遇政策性调价，按政策规定的价格执行。</w:t>
      </w:r>
    </w:p>
    <w:p w14:paraId="06EFD6E9">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3、医用耗材送达交收地点后，甲方应按相关规定验收。甲方确认收货后，乙方应及时将发票送达甲方。甲方按院内流程办理发票付款。</w:t>
      </w:r>
    </w:p>
    <w:p w14:paraId="37BFE6A7">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4、结算时间：甲方在收到合法发票之日起最迟不得超过6个月进行交易价款结算。</w:t>
      </w:r>
    </w:p>
    <w:p w14:paraId="29737C9C">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5、其他与交易价款结算有关的事项，按甲方、乙方分别与广东省药品交易中心有限公司、结算银行签订的《结算服务协议书》执行。</w:t>
      </w:r>
    </w:p>
    <w:p w14:paraId="036CE459">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第七条各方共同义务</w:t>
      </w:r>
    </w:p>
    <w:p w14:paraId="33F7143B">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两方一致同意并声明：</w:t>
      </w:r>
    </w:p>
    <w:p w14:paraId="4991084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1、两方对在本合同签订及履行过程中所获得商业信息负有保密义务，该义务不因本合同的解除或终止而失效；</w:t>
      </w:r>
    </w:p>
    <w:p w14:paraId="1EE09AF0">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2、两方签署本合同已经过两方的内部授权或者审批，签署本合同为两方自愿的、真实的意思表示，并且在执行本合同时给予两方必要的和合理的支持与配合。</w:t>
      </w:r>
    </w:p>
    <w:p w14:paraId="0BEF8B0A">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3、两方应遵守交易平台施行的与履约保证金相关的制度和规则。若涉嫌异常交易行为并经调查核实，应按规定向广东省药品交易中心足额缴纳交易履约保证金，以保证持续具备医用耗材的交易的资格以及确保不影响本合同项下合同义务的履行。</w:t>
      </w:r>
    </w:p>
    <w:p w14:paraId="04B335CB">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4、为确保签约行为符合相关税收规定，根据《中华人民共和国印花税暂行条例》以及《中华人民共和国印花税暂行条例施行细则》等相关法律法规，交易各方承诺通过交易平台及时缴纳本合同项下的印花税。</w:t>
      </w:r>
    </w:p>
    <w:p w14:paraId="34F5F38F">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第八条甲方的违约责任</w:t>
      </w:r>
    </w:p>
    <w:p w14:paraId="3DD94055">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甲方如出现下列行为，应按照《中华人民共和国民法典》的规定承担违约责任：</w:t>
      </w:r>
    </w:p>
    <w:p w14:paraId="013A8761">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1、甲方违反本合同约定，无正当理由拒绝接收乙方配送的医用耗材；</w:t>
      </w:r>
    </w:p>
    <w:p w14:paraId="154EE490">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2、甲方无正当理由未按照本合同约定的期限和采购医用耗材明细表完成采购；</w:t>
      </w:r>
    </w:p>
    <w:p w14:paraId="56A014E0">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3、甲方未按照本合同约定期限支付交易价款；</w:t>
      </w:r>
    </w:p>
    <w:p w14:paraId="70D108E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4、其他违反本合同约定的行为。</w:t>
      </w:r>
    </w:p>
    <w:p w14:paraId="5743C35A">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第九条乙方的违约责任</w:t>
      </w:r>
    </w:p>
    <w:p w14:paraId="62AFBBDF">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乙方如出现下列行为，应按照《中华人民共和国民法典》和《交易办法》的规定承担相应的违约责任：</w:t>
      </w:r>
    </w:p>
    <w:p w14:paraId="5504A593">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1、违反本合同约定，不及时、不足量或拒绝供货；</w:t>
      </w:r>
    </w:p>
    <w:p w14:paraId="04A57C4C">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2、所供医用耗材不符合相关质量标准的；</w:t>
      </w:r>
    </w:p>
    <w:p w14:paraId="732DA0E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3、其他违反本合同约定的行为。</w:t>
      </w:r>
    </w:p>
    <w:p w14:paraId="431B144F">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第十条不可抗力</w:t>
      </w:r>
    </w:p>
    <w:p w14:paraId="616C2F6B">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合同当事人因不可抗力而导致合同实施延误或不能履行合同义务，不承担误期赔偿或终止合同的责任。（“不可抗力”系指合同双方无法控制、不可预见、不可克服的事件，但不包括合同某一方的违约或疏忽。这些事件包括但不限于：战争、严重火灾、洪水、台风、地震等事件）。在不可抗力事件发生后，合同一方应尽快以书面形式将不可抗力的情况和原因通知其他方。除各方另行协商达成一致外，合同各方应尽实际可能继续履行合同义务，以及寻求采取合理的方案履行不受不可抗力影响的其他事项。不可抗力事件影响消除后，合同各方可通过协商在合理的时间内达成进一步履行合同的协议。</w:t>
      </w:r>
    </w:p>
    <w:p w14:paraId="47E78D71">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第十一条合同的解除</w:t>
      </w:r>
    </w:p>
    <w:p w14:paraId="50A0805A">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甲方有下列情形之一的，乙方有权解除合同；乙方存在下列情形之一的，甲方亦有权解除合同。</w:t>
      </w:r>
    </w:p>
    <w:p w14:paraId="7A8B0F59">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1.因不可抗力致使不能实现合同目的；</w:t>
      </w:r>
    </w:p>
    <w:p w14:paraId="3FE4ECF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2.在履行期限届满之前，明确表示或者以自己的行为表明不履行主要债务；</w:t>
      </w:r>
    </w:p>
    <w:p w14:paraId="7B5D21AE">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3.迟延履行主要债务，经催告后在合理期限内仍未履行；</w:t>
      </w:r>
    </w:p>
    <w:p w14:paraId="48707B1F">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4.迟延履行债务或者有其他违约行为致使不能实现合同目的；</w:t>
      </w:r>
    </w:p>
    <w:p w14:paraId="2920D12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5.法律规定的其他情形。</w:t>
      </w:r>
    </w:p>
    <w:p w14:paraId="6C9EC237">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第十二条争议的解决</w:t>
      </w:r>
    </w:p>
    <w:p w14:paraId="089715E3">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任何因本合同而起或与本合同有关的纠纷，各方应协商解决；协商不成的，任何一方均有权向中国广州仲裁委员会提起仲裁，并按其当时有效的仲裁规则进行仲裁，仲裁结果对各方均具备最终约束力。</w:t>
      </w:r>
    </w:p>
    <w:p w14:paraId="1529AD10">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第十三条其他</w:t>
      </w:r>
    </w:p>
    <w:p w14:paraId="7C10EEA4">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1、本合同附件及各方通过交易平台确认的具体订单为本合同的组成部分，具体订单中的内容与本合同约定不一致或本合同未作约定的，以订单为准。</w:t>
      </w:r>
    </w:p>
    <w:p w14:paraId="0B4D17A3">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2、本合同未尽事项，各方可在不违背法律、法规、《交易办法》、交易平台有关规定的前提下，进行其他约定或另行签订补充协议。经各方签字盖章的补充协议与本合同具有同等法律效力。</w:t>
      </w:r>
    </w:p>
    <w:p w14:paraId="71286D06">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3、本合同壹式两份，甲乙双方执壹份，均为正本，具有同等法律效力，本合同经双方签字盖章后生效，有效期为壹年。</w:t>
      </w:r>
    </w:p>
    <w:p w14:paraId="6C884BBE">
      <w:pPr>
        <w:widowControl/>
        <w:spacing w:line="360" w:lineRule="auto"/>
        <w:jc w:val="left"/>
        <w:rPr>
          <w:rFonts w:ascii="宋体" w:hAnsi="宋体" w:eastAsia="宋体" w:cs="Times New Roman"/>
          <w:color w:val="auto"/>
          <w:sz w:val="24"/>
          <w:shd w:val="clear" w:color="auto" w:fill="FFFFFF"/>
        </w:rPr>
      </w:pPr>
    </w:p>
    <w:p w14:paraId="2EC2E391">
      <w:pPr>
        <w:spacing w:line="360" w:lineRule="auto"/>
        <w:rPr>
          <w:rFonts w:ascii="宋体" w:hAnsi="宋体"/>
          <w:color w:val="auto"/>
          <w:sz w:val="24"/>
          <w:u w:val="none"/>
        </w:rPr>
      </w:pPr>
      <w:r>
        <w:rPr>
          <w:rFonts w:hint="eastAsia" w:ascii="宋体" w:hAnsi="宋体"/>
          <w:color w:val="auto"/>
          <w:sz w:val="24"/>
        </w:rPr>
        <w:t>甲方（章）</w:t>
      </w:r>
      <w:r>
        <w:rPr>
          <w:rFonts w:hint="eastAsia" w:ascii="宋体" w:hAnsi="宋体"/>
          <w:color w:val="auto"/>
          <w:sz w:val="24"/>
          <w:u w:val="none"/>
        </w:rPr>
        <w:t>：中山市中医院乙方（章）：</w:t>
      </w:r>
    </w:p>
    <w:p w14:paraId="7AE4FDCC">
      <w:pPr>
        <w:spacing w:before="156" w:beforeLines="50" w:after="156" w:afterLines="50" w:line="360" w:lineRule="auto"/>
        <w:rPr>
          <w:rFonts w:ascii="宋体" w:hAnsi="宋体"/>
          <w:color w:val="auto"/>
          <w:sz w:val="24"/>
          <w:u w:val="none"/>
        </w:rPr>
      </w:pPr>
      <w:r>
        <w:rPr>
          <w:rFonts w:hint="eastAsia" w:ascii="宋体" w:hAnsi="宋体"/>
          <w:color w:val="auto"/>
          <w:sz w:val="24"/>
          <w:u w:val="none"/>
        </w:rPr>
        <w:t>法定代表人</w:t>
      </w:r>
      <w:r>
        <w:rPr>
          <w:rFonts w:hint="eastAsia" w:ascii="宋体" w:hAnsi="宋体"/>
          <w:color w:val="auto"/>
          <w:sz w:val="24"/>
          <w:u w:val="none"/>
          <w:lang w:eastAsia="zh-CN"/>
        </w:rPr>
        <w:t>（</w:t>
      </w:r>
      <w:r>
        <w:rPr>
          <w:rFonts w:hint="eastAsia" w:ascii="宋体" w:hAnsi="宋体"/>
          <w:color w:val="auto"/>
          <w:sz w:val="24"/>
          <w:u w:val="none"/>
          <w:lang w:val="en-US" w:eastAsia="zh-CN"/>
        </w:rPr>
        <w:t>授权代表</w:t>
      </w:r>
      <w:r>
        <w:rPr>
          <w:rFonts w:hint="eastAsia" w:ascii="宋体" w:hAnsi="宋体"/>
          <w:color w:val="auto"/>
          <w:sz w:val="24"/>
          <w:u w:val="none"/>
          <w:lang w:eastAsia="zh-CN"/>
        </w:rPr>
        <w:t>）</w:t>
      </w:r>
      <w:r>
        <w:rPr>
          <w:rFonts w:hint="eastAsia" w:ascii="宋体" w:hAnsi="宋体"/>
          <w:color w:val="auto"/>
          <w:sz w:val="24"/>
          <w:u w:val="none"/>
        </w:rPr>
        <w:t>：法定代表人</w:t>
      </w:r>
      <w:r>
        <w:rPr>
          <w:rFonts w:hint="eastAsia" w:ascii="宋体" w:hAnsi="宋体"/>
          <w:color w:val="auto"/>
          <w:sz w:val="24"/>
          <w:u w:val="none"/>
          <w:lang w:eastAsia="zh-CN"/>
        </w:rPr>
        <w:t>（</w:t>
      </w:r>
      <w:r>
        <w:rPr>
          <w:rFonts w:hint="eastAsia" w:ascii="宋体" w:hAnsi="宋体"/>
          <w:color w:val="auto"/>
          <w:sz w:val="24"/>
          <w:u w:val="none"/>
          <w:lang w:val="en-US" w:eastAsia="zh-CN"/>
        </w:rPr>
        <w:t>授权代表</w:t>
      </w:r>
      <w:r>
        <w:rPr>
          <w:rFonts w:hint="eastAsia" w:ascii="宋体" w:hAnsi="宋体"/>
          <w:color w:val="auto"/>
          <w:sz w:val="24"/>
          <w:u w:val="none"/>
          <w:lang w:eastAsia="zh-CN"/>
        </w:rPr>
        <w:t>）</w:t>
      </w:r>
      <w:r>
        <w:rPr>
          <w:rFonts w:hint="eastAsia" w:ascii="宋体" w:hAnsi="宋体"/>
          <w:color w:val="auto"/>
          <w:sz w:val="24"/>
          <w:u w:val="none"/>
        </w:rPr>
        <w:t>：</w:t>
      </w:r>
    </w:p>
    <w:p w14:paraId="50087035">
      <w:pPr>
        <w:spacing w:line="360" w:lineRule="auto"/>
        <w:rPr>
          <w:rFonts w:ascii="宋体" w:hAnsi="宋体"/>
          <w:color w:val="auto"/>
          <w:sz w:val="24"/>
          <w:u w:val="none"/>
        </w:rPr>
      </w:pPr>
      <w:r>
        <w:rPr>
          <w:rFonts w:hint="eastAsia" w:ascii="宋体" w:hAnsi="宋体"/>
          <w:color w:val="auto"/>
          <w:sz w:val="24"/>
          <w:u w:val="none"/>
        </w:rPr>
        <w:t>单位地址：中山市西区康欣路3号单位地址：</w:t>
      </w:r>
    </w:p>
    <w:p w14:paraId="2A92E3FF">
      <w:pPr>
        <w:spacing w:line="360" w:lineRule="auto"/>
        <w:rPr>
          <w:rFonts w:ascii="宋体" w:hAnsi="宋体"/>
          <w:color w:val="auto"/>
          <w:sz w:val="24"/>
          <w:u w:val="none"/>
        </w:rPr>
      </w:pPr>
      <w:r>
        <w:rPr>
          <w:rFonts w:hint="eastAsia" w:ascii="宋体" w:hAnsi="宋体"/>
          <w:color w:val="auto"/>
          <w:sz w:val="24"/>
          <w:u w:val="none"/>
        </w:rPr>
        <w:t>联系电话：0760-89980318</w:t>
      </w:r>
      <w:r>
        <w:rPr>
          <w:rFonts w:hint="eastAsia" w:ascii="宋体" w:hAnsi="宋体"/>
          <w:color w:val="auto"/>
          <w:sz w:val="24"/>
          <w:u w:val="none"/>
          <w:lang w:val="en-US" w:eastAsia="zh-CN"/>
        </w:rPr>
        <w:t xml:space="preserve">          </w:t>
      </w:r>
      <w:r>
        <w:rPr>
          <w:rFonts w:hint="eastAsia" w:ascii="宋体" w:hAnsi="宋体"/>
          <w:color w:val="auto"/>
          <w:sz w:val="24"/>
          <w:u w:val="none"/>
        </w:rPr>
        <w:t>联系电话：</w:t>
      </w:r>
    </w:p>
    <w:p w14:paraId="44D12D3A">
      <w:pPr>
        <w:spacing w:line="360" w:lineRule="auto"/>
        <w:rPr>
          <w:rFonts w:ascii="宋体" w:hAnsi="宋体"/>
          <w:color w:val="auto"/>
          <w:sz w:val="24"/>
          <w:u w:val="none"/>
        </w:rPr>
      </w:pPr>
      <w:r>
        <w:rPr>
          <w:rFonts w:hint="eastAsia" w:ascii="宋体" w:hAnsi="宋体"/>
          <w:color w:val="auto"/>
          <w:sz w:val="24"/>
          <w:u w:val="none"/>
        </w:rPr>
        <w:t>签约时间：202</w:t>
      </w:r>
      <w:r>
        <w:rPr>
          <w:rFonts w:hint="eastAsia" w:ascii="宋体" w:hAnsi="宋体"/>
          <w:color w:val="auto"/>
          <w:sz w:val="24"/>
          <w:u w:val="none"/>
          <w:lang w:val="en-US" w:eastAsia="zh-CN"/>
        </w:rPr>
        <w:t>6</w:t>
      </w:r>
      <w:r>
        <w:rPr>
          <w:rFonts w:hint="eastAsia" w:ascii="宋体" w:hAnsi="宋体"/>
          <w:color w:val="auto"/>
          <w:sz w:val="24"/>
          <w:u w:val="none"/>
        </w:rPr>
        <w:t>年7月1日</w:t>
      </w:r>
    </w:p>
    <w:p w14:paraId="3F6A1392">
      <w:pPr>
        <w:spacing w:line="360" w:lineRule="auto"/>
        <w:rPr>
          <w:rFonts w:ascii="宋体" w:hAnsi="宋体"/>
          <w:color w:val="auto"/>
          <w:sz w:val="24"/>
        </w:rPr>
      </w:pPr>
    </w:p>
    <w:p w14:paraId="646D09F4">
      <w:pPr>
        <w:spacing w:line="360" w:lineRule="auto"/>
        <w:rPr>
          <w:rFonts w:ascii="宋体" w:hAnsi="宋体"/>
          <w:color w:val="auto"/>
          <w:sz w:val="24"/>
        </w:rPr>
      </w:pPr>
    </w:p>
    <w:p w14:paraId="0B484060">
      <w:pPr>
        <w:widowControl/>
        <w:autoSpaceDE w:val="0"/>
        <w:autoSpaceDN w:val="0"/>
        <w:adjustRightInd w:val="0"/>
        <w:spacing w:line="360" w:lineRule="auto"/>
        <w:jc w:val="center"/>
        <w:rPr>
          <w:rFonts w:ascii="宋体" w:hAnsi="宋体" w:eastAsia="宋体" w:cs="仿宋_GB2312"/>
          <w:b/>
          <w:color w:val="auto"/>
          <w:kern w:val="0"/>
          <w:sz w:val="28"/>
          <w:szCs w:val="28"/>
        </w:rPr>
      </w:pPr>
      <w:r>
        <w:rPr>
          <w:rFonts w:hint="eastAsia" w:ascii="宋体" w:hAnsi="宋体" w:eastAsia="宋体" w:cs="仿宋_GB2312"/>
          <w:b/>
          <w:color w:val="auto"/>
          <w:kern w:val="0"/>
          <w:sz w:val="28"/>
          <w:szCs w:val="28"/>
        </w:rPr>
        <w:t>医疗卫生机构医药产品廉洁购销合同</w:t>
      </w:r>
    </w:p>
    <w:p w14:paraId="11F0772D">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甲方（医疗卫生机构）：中山市中医院</w:t>
      </w:r>
    </w:p>
    <w:p w14:paraId="069B5CF4">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乙方（医药生产经营企业及其代理人）：</w:t>
      </w:r>
    </w:p>
    <w:p w14:paraId="271212E3">
      <w:pPr>
        <w:widowControl/>
        <w:spacing w:line="360" w:lineRule="auto"/>
        <w:ind w:firstLine="480" w:firstLineChars="200"/>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为进一步加强医疗卫生行风建设，规范医疗卫生机构医药购销行为，有效防范商业贿赂行为，营造公平交易、诚实守信的购销环境，经甲、乙双方协商，同意签订本合同，并共同遵守：</w:t>
      </w:r>
    </w:p>
    <w:p w14:paraId="414B5957">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一、甲乙双方按照《中华人民共和国民法典》及医药产品购销合同约定购销药品、医用设备、医用耗材等医药产品。</w:t>
      </w:r>
    </w:p>
    <w:p w14:paraId="705E8071">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二、甲方应当严格执行医药产品购销合同验收、入库制度，对采购医药产品及发票进行查验，不得违反有关规定合同外采购、违价采购或从非规定渠道采购。</w:t>
      </w:r>
    </w:p>
    <w:p w14:paraId="286B6E26">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F87580E">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四、严禁甲方工作人员利用任何途径和方式，为乙方统计医师个人及临床科室有关医药产品用量信息，或为乙方统计提供便利。</w:t>
      </w:r>
    </w:p>
    <w:p w14:paraId="1B50430C">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五、乙方不得以回扣、宴请等方式影响甲方工作人员采购或使用医药产品的选择权，不得在学术活动中提供旅游、超标准支付食宿费用。</w:t>
      </w:r>
    </w:p>
    <w:p w14:paraId="1B21988A">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5CB6297">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9CB1BA4">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八、本合同作为医药产品购销合同的重要组成部分，与购销合同一并执行，具有同等的法律效力。</w:t>
      </w:r>
    </w:p>
    <w:p w14:paraId="35FBF62F">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九、</w:t>
      </w:r>
      <w:r>
        <w:rPr>
          <w:rFonts w:hint="eastAsia" w:ascii="宋体" w:hAnsi="宋体"/>
          <w:color w:val="auto"/>
          <w:sz w:val="24"/>
          <w:shd w:val="clear" w:color="auto" w:fill="FFFFFF"/>
        </w:rPr>
        <w:t>本协议书一式两份，甲、乙双方各执一份，</w:t>
      </w:r>
      <w:r>
        <w:rPr>
          <w:rFonts w:hint="eastAsia" w:ascii="宋体" w:hAnsi="宋体" w:eastAsia="宋体" w:cs="Times New Roman"/>
          <w:color w:val="auto"/>
          <w:sz w:val="24"/>
          <w:shd w:val="clear" w:color="auto" w:fill="FFFFFF"/>
        </w:rPr>
        <w:t>并从签订之日起生效。</w:t>
      </w:r>
    </w:p>
    <w:p w14:paraId="01201C45">
      <w:pPr>
        <w:spacing w:line="360" w:lineRule="auto"/>
        <w:jc w:val="left"/>
        <w:rPr>
          <w:rFonts w:ascii="宋体" w:hAnsi="宋体"/>
          <w:color w:val="auto"/>
          <w:sz w:val="24"/>
          <w:shd w:val="clear" w:color="auto" w:fill="FFFFFF"/>
        </w:rPr>
      </w:pPr>
      <w:r>
        <w:rPr>
          <w:rFonts w:hint="eastAsia" w:ascii="宋体" w:hAnsi="宋体"/>
          <w:color w:val="auto"/>
          <w:sz w:val="24"/>
          <w:shd w:val="clear" w:color="auto" w:fill="FFFFFF"/>
        </w:rPr>
        <w:t>甲方（盖章）：中山市中医院乙方（盖章）：</w:t>
      </w:r>
    </w:p>
    <w:p w14:paraId="5C6D55C3">
      <w:pPr>
        <w:spacing w:line="360" w:lineRule="auto"/>
        <w:jc w:val="left"/>
        <w:rPr>
          <w:rFonts w:ascii="宋体" w:hAnsi="宋体"/>
          <w:color w:val="auto"/>
          <w:sz w:val="24"/>
          <w:shd w:val="clear" w:color="auto" w:fill="FFFFFF"/>
        </w:rPr>
      </w:pPr>
      <w:r>
        <w:rPr>
          <w:rFonts w:hint="eastAsia" w:ascii="宋体" w:hAnsi="宋体"/>
          <w:color w:val="auto"/>
          <w:sz w:val="24"/>
          <w:shd w:val="clear" w:color="auto" w:fill="FFFFFF"/>
        </w:rPr>
        <w:t>法定代表人</w:t>
      </w:r>
      <w:r>
        <w:rPr>
          <w:rFonts w:hint="eastAsia" w:ascii="宋体" w:hAnsi="宋体"/>
          <w:color w:val="auto"/>
          <w:sz w:val="24"/>
          <w:lang w:eastAsia="zh-CN"/>
        </w:rPr>
        <w:t>（</w:t>
      </w:r>
      <w:r>
        <w:rPr>
          <w:rFonts w:hint="eastAsia" w:ascii="宋体" w:hAnsi="宋体"/>
          <w:color w:val="auto"/>
          <w:sz w:val="24"/>
          <w:lang w:val="en-US" w:eastAsia="zh-CN"/>
        </w:rPr>
        <w:t>授权代表</w:t>
      </w:r>
      <w:r>
        <w:rPr>
          <w:rFonts w:hint="eastAsia" w:ascii="宋体" w:hAnsi="宋体"/>
          <w:color w:val="auto"/>
          <w:sz w:val="24"/>
          <w:lang w:eastAsia="zh-CN"/>
        </w:rPr>
        <w:t>）</w:t>
      </w:r>
      <w:r>
        <w:rPr>
          <w:rFonts w:hint="eastAsia" w:ascii="宋体" w:hAnsi="宋体"/>
          <w:color w:val="auto"/>
          <w:sz w:val="24"/>
          <w:shd w:val="clear" w:color="auto" w:fill="FFFFFF"/>
        </w:rPr>
        <w:t>：法定代表人</w:t>
      </w:r>
      <w:r>
        <w:rPr>
          <w:rFonts w:hint="eastAsia" w:ascii="宋体" w:hAnsi="宋体"/>
          <w:color w:val="auto"/>
          <w:sz w:val="24"/>
          <w:lang w:eastAsia="zh-CN"/>
        </w:rPr>
        <w:t>（</w:t>
      </w:r>
      <w:r>
        <w:rPr>
          <w:rFonts w:hint="eastAsia" w:ascii="宋体" w:hAnsi="宋体"/>
          <w:color w:val="auto"/>
          <w:sz w:val="24"/>
          <w:lang w:val="en-US" w:eastAsia="zh-CN"/>
        </w:rPr>
        <w:t>授权代表</w:t>
      </w:r>
      <w:r>
        <w:rPr>
          <w:rFonts w:hint="eastAsia" w:ascii="宋体" w:hAnsi="宋体"/>
          <w:color w:val="auto"/>
          <w:sz w:val="24"/>
          <w:lang w:eastAsia="zh-CN"/>
        </w:rPr>
        <w:t>）</w:t>
      </w:r>
      <w:r>
        <w:rPr>
          <w:rFonts w:hint="eastAsia" w:ascii="宋体" w:hAnsi="宋体"/>
          <w:color w:val="auto"/>
          <w:sz w:val="24"/>
          <w:shd w:val="clear" w:color="auto" w:fill="FFFFFF"/>
        </w:rPr>
        <w:t>：</w:t>
      </w:r>
    </w:p>
    <w:p w14:paraId="6F1DCF89">
      <w:pPr>
        <w:jc w:val="left"/>
        <w:rPr>
          <w:rFonts w:hint="eastAsia" w:ascii="宋体" w:hAnsi="宋体"/>
          <w:color w:val="auto"/>
          <w:sz w:val="24"/>
          <w:shd w:val="clear" w:color="auto" w:fill="FFFFFF"/>
        </w:rPr>
      </w:pPr>
      <w:r>
        <w:rPr>
          <w:rFonts w:hint="eastAsia" w:ascii="宋体" w:hAnsi="宋体"/>
          <w:color w:val="auto"/>
          <w:sz w:val="24"/>
          <w:shd w:val="clear" w:color="auto" w:fill="FFFFFF"/>
        </w:rPr>
        <w:t>签约日期：202</w:t>
      </w:r>
      <w:r>
        <w:rPr>
          <w:rFonts w:hint="eastAsia" w:ascii="宋体" w:hAnsi="宋体"/>
          <w:color w:val="auto"/>
          <w:sz w:val="24"/>
          <w:shd w:val="clear" w:color="auto" w:fill="FFFFFF"/>
          <w:lang w:val="en-US" w:eastAsia="zh-CN"/>
        </w:rPr>
        <w:t>6</w:t>
      </w:r>
      <w:r>
        <w:rPr>
          <w:rFonts w:hint="eastAsia" w:ascii="宋体" w:hAnsi="宋体"/>
          <w:color w:val="auto"/>
          <w:sz w:val="24"/>
          <w:shd w:val="clear" w:color="auto" w:fill="FFFFFF"/>
        </w:rPr>
        <w:t>年7月1日</w:t>
      </w:r>
    </w:p>
    <w:p w14:paraId="54A8F647">
      <w:pPr>
        <w:jc w:val="left"/>
        <w:rPr>
          <w:rFonts w:hint="eastAsia" w:ascii="宋体" w:hAnsi="宋体"/>
          <w:color w:val="auto"/>
          <w:sz w:val="24"/>
          <w:shd w:val="clear" w:color="auto" w:fill="FFFFFF"/>
        </w:rPr>
      </w:pPr>
    </w:p>
    <w:tbl>
      <w:tblPr>
        <w:tblStyle w:val="20"/>
        <w:tblpPr w:leftFromText="180" w:rightFromText="180" w:vertAnchor="text" w:horzAnchor="page" w:tblpX="686" w:tblpY="-233"/>
        <w:tblOverlap w:val="never"/>
        <w:tblW w:w="5000" w:type="pct"/>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983"/>
        <w:gridCol w:w="984"/>
        <w:gridCol w:w="984"/>
        <w:gridCol w:w="984"/>
        <w:gridCol w:w="984"/>
        <w:gridCol w:w="1176"/>
        <w:gridCol w:w="1368"/>
        <w:gridCol w:w="1224"/>
      </w:tblGrid>
      <w:tr w14:paraId="02A1332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000" w:type="pct"/>
            <w:gridSpan w:val="9"/>
            <w:tcBorders>
              <w:tl2br w:val="nil"/>
              <w:tr2bl w:val="nil"/>
            </w:tcBorders>
            <w:shd w:val="clear" w:color="auto" w:fill="auto"/>
            <w:noWrap/>
            <w:vAlign w:val="center"/>
          </w:tcPr>
          <w:p w14:paraId="78C0A416">
            <w:pPr>
              <w:jc w:val="center"/>
              <w:rPr>
                <w:rFonts w:ascii="宋体" w:hAnsi="宋体" w:cs="宋体"/>
                <w:b/>
                <w:color w:val="000000"/>
                <w:kern w:val="0"/>
                <w:sz w:val="32"/>
                <w:szCs w:val="32"/>
              </w:rPr>
            </w:pPr>
            <w:r>
              <w:rPr>
                <w:rFonts w:hint="eastAsia" w:ascii="宋体" w:hAnsi="宋体" w:cs="宋体"/>
                <w:b/>
                <w:color w:val="000000"/>
                <w:kern w:val="0"/>
                <w:sz w:val="32"/>
                <w:szCs w:val="32"/>
              </w:rPr>
              <w:t>医用耗材采购明细表</w:t>
            </w:r>
          </w:p>
        </w:tc>
      </w:tr>
      <w:tr w14:paraId="2DA50E3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5B6C80A3">
            <w:pPr>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490" w:type="pct"/>
            <w:shd w:val="clear" w:color="auto" w:fill="auto"/>
            <w:noWrap/>
            <w:vAlign w:val="center"/>
          </w:tcPr>
          <w:p w14:paraId="4A7A8725">
            <w:pPr>
              <w:jc w:val="center"/>
              <w:rPr>
                <w:rFonts w:ascii="宋体" w:hAnsi="宋体" w:cs="宋体"/>
                <w:color w:val="000000"/>
                <w:kern w:val="0"/>
                <w:sz w:val="22"/>
                <w:szCs w:val="22"/>
              </w:rPr>
            </w:pPr>
            <w:r>
              <w:rPr>
                <w:rFonts w:hint="eastAsia" w:ascii="宋体" w:hAnsi="宋体" w:cs="宋体"/>
                <w:color w:val="000000"/>
                <w:kern w:val="0"/>
                <w:sz w:val="22"/>
                <w:szCs w:val="22"/>
              </w:rPr>
              <w:t>产品名称</w:t>
            </w:r>
          </w:p>
        </w:tc>
        <w:tc>
          <w:tcPr>
            <w:tcW w:w="491" w:type="pct"/>
            <w:shd w:val="clear" w:color="auto" w:fill="auto"/>
            <w:noWrap/>
            <w:vAlign w:val="center"/>
          </w:tcPr>
          <w:p w14:paraId="38E29EA6">
            <w:pPr>
              <w:jc w:val="center"/>
              <w:rPr>
                <w:rFonts w:ascii="宋体" w:hAnsi="宋体" w:cs="宋体"/>
                <w:color w:val="000000"/>
                <w:kern w:val="0"/>
                <w:sz w:val="22"/>
                <w:szCs w:val="22"/>
              </w:rPr>
            </w:pPr>
            <w:r>
              <w:rPr>
                <w:rFonts w:hint="eastAsia" w:ascii="宋体" w:hAnsi="宋体" w:cs="宋体"/>
                <w:color w:val="000000"/>
                <w:kern w:val="0"/>
                <w:sz w:val="22"/>
                <w:szCs w:val="22"/>
              </w:rPr>
              <w:t>规格型号</w:t>
            </w:r>
          </w:p>
        </w:tc>
        <w:tc>
          <w:tcPr>
            <w:tcW w:w="491" w:type="pct"/>
            <w:shd w:val="clear" w:color="auto" w:fill="auto"/>
            <w:noWrap/>
            <w:vAlign w:val="center"/>
          </w:tcPr>
          <w:p w14:paraId="586ED32E">
            <w:pPr>
              <w:jc w:val="center"/>
              <w:rPr>
                <w:rFonts w:ascii="宋体" w:hAnsi="宋体" w:cs="宋体"/>
                <w:color w:val="000000"/>
                <w:kern w:val="0"/>
                <w:sz w:val="22"/>
                <w:szCs w:val="22"/>
              </w:rPr>
            </w:pPr>
            <w:r>
              <w:rPr>
                <w:rFonts w:hint="eastAsia" w:ascii="宋体" w:hAnsi="宋体" w:cs="宋体"/>
                <w:color w:val="000000"/>
                <w:kern w:val="0"/>
                <w:sz w:val="22"/>
                <w:szCs w:val="22"/>
              </w:rPr>
              <w:t>注册证号</w:t>
            </w:r>
          </w:p>
        </w:tc>
        <w:tc>
          <w:tcPr>
            <w:tcW w:w="491" w:type="pct"/>
            <w:shd w:val="clear" w:color="auto" w:fill="auto"/>
            <w:noWrap/>
            <w:vAlign w:val="center"/>
          </w:tcPr>
          <w:p w14:paraId="788A0406">
            <w:pPr>
              <w:jc w:val="center"/>
              <w:rPr>
                <w:rFonts w:ascii="宋体" w:hAnsi="宋体" w:cs="宋体"/>
                <w:color w:val="000000"/>
                <w:kern w:val="0"/>
                <w:sz w:val="22"/>
                <w:szCs w:val="22"/>
              </w:rPr>
            </w:pPr>
            <w:r>
              <w:rPr>
                <w:rFonts w:hint="eastAsia" w:ascii="宋体" w:hAnsi="宋体" w:cs="宋体"/>
                <w:color w:val="000000"/>
                <w:kern w:val="0"/>
                <w:sz w:val="22"/>
                <w:szCs w:val="22"/>
              </w:rPr>
              <w:t>生产企业</w:t>
            </w:r>
          </w:p>
        </w:tc>
        <w:tc>
          <w:tcPr>
            <w:tcW w:w="491" w:type="pct"/>
            <w:shd w:val="clear" w:color="auto" w:fill="auto"/>
            <w:noWrap/>
            <w:vAlign w:val="center"/>
          </w:tcPr>
          <w:p w14:paraId="1FEBCE66">
            <w:pPr>
              <w:jc w:val="center"/>
              <w:rPr>
                <w:rFonts w:ascii="宋体" w:hAnsi="宋体" w:cs="宋体"/>
                <w:color w:val="000000"/>
                <w:kern w:val="0"/>
                <w:sz w:val="22"/>
                <w:szCs w:val="22"/>
              </w:rPr>
            </w:pPr>
            <w:r>
              <w:rPr>
                <w:rFonts w:hint="eastAsia" w:ascii="宋体" w:hAnsi="宋体" w:cs="宋体"/>
                <w:color w:val="000000"/>
                <w:kern w:val="0"/>
                <w:sz w:val="22"/>
                <w:szCs w:val="22"/>
              </w:rPr>
              <w:t>包装单位</w:t>
            </w:r>
          </w:p>
        </w:tc>
        <w:tc>
          <w:tcPr>
            <w:tcW w:w="587" w:type="pct"/>
            <w:shd w:val="clear" w:color="auto" w:fill="auto"/>
            <w:noWrap/>
            <w:vAlign w:val="center"/>
          </w:tcPr>
          <w:p w14:paraId="3E42E3A7">
            <w:pPr>
              <w:jc w:val="center"/>
              <w:rPr>
                <w:rFonts w:ascii="宋体" w:hAnsi="宋体" w:cs="宋体"/>
                <w:color w:val="000000"/>
                <w:kern w:val="0"/>
                <w:sz w:val="22"/>
                <w:szCs w:val="22"/>
              </w:rPr>
            </w:pPr>
            <w:r>
              <w:rPr>
                <w:rFonts w:hint="eastAsia" w:ascii="宋体" w:hAnsi="宋体" w:cs="宋体"/>
                <w:color w:val="000000"/>
                <w:kern w:val="0"/>
                <w:sz w:val="22"/>
                <w:szCs w:val="22"/>
              </w:rPr>
              <w:t>单价（元）</w:t>
            </w:r>
          </w:p>
        </w:tc>
        <w:tc>
          <w:tcPr>
            <w:tcW w:w="683" w:type="pct"/>
            <w:shd w:val="clear" w:color="auto" w:fill="auto"/>
            <w:noWrap/>
            <w:vAlign w:val="center"/>
          </w:tcPr>
          <w:p w14:paraId="52FA90A0">
            <w:pPr>
              <w:jc w:val="center"/>
              <w:rPr>
                <w:rFonts w:ascii="宋体" w:hAnsi="宋体" w:cs="宋体"/>
                <w:color w:val="000000"/>
                <w:kern w:val="0"/>
                <w:sz w:val="22"/>
                <w:szCs w:val="22"/>
              </w:rPr>
            </w:pPr>
            <w:r>
              <w:rPr>
                <w:rFonts w:hint="eastAsia" w:ascii="宋体" w:hAnsi="宋体" w:cs="宋体"/>
                <w:color w:val="000000"/>
                <w:kern w:val="0"/>
                <w:sz w:val="22"/>
                <w:szCs w:val="22"/>
              </w:rPr>
              <w:t>国家医保编码</w:t>
            </w:r>
          </w:p>
        </w:tc>
        <w:tc>
          <w:tcPr>
            <w:tcW w:w="972" w:type="pct"/>
            <w:tcBorders>
              <w:right w:val="single" w:color="auto" w:sz="4" w:space="0"/>
            </w:tcBorders>
            <w:shd w:val="clear" w:color="auto" w:fill="auto"/>
            <w:noWrap/>
            <w:vAlign w:val="center"/>
          </w:tcPr>
          <w:p w14:paraId="7BEE172D">
            <w:pPr>
              <w:jc w:val="center"/>
              <w:rPr>
                <w:rFonts w:ascii="宋体" w:hAnsi="宋体" w:eastAsia="宋体" w:cs="宋体"/>
                <w:color w:val="000000"/>
                <w:kern w:val="0"/>
                <w:sz w:val="22"/>
                <w:szCs w:val="22"/>
              </w:rPr>
            </w:pPr>
            <w:r>
              <w:rPr>
                <w:rFonts w:hint="eastAsia" w:ascii="宋体" w:hAnsi="宋体" w:cs="宋体"/>
                <w:color w:val="000000"/>
                <w:kern w:val="0"/>
                <w:sz w:val="22"/>
                <w:szCs w:val="22"/>
              </w:rPr>
              <w:t>省网药交ID</w:t>
            </w:r>
          </w:p>
        </w:tc>
      </w:tr>
      <w:tr w14:paraId="32BCFAF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37C01309">
            <w:pPr>
              <w:jc w:val="center"/>
              <w:rPr>
                <w:rFonts w:ascii="宋体" w:hAnsi="宋体" w:cs="宋体"/>
                <w:color w:val="000000"/>
                <w:kern w:val="0"/>
                <w:sz w:val="22"/>
                <w:szCs w:val="22"/>
              </w:rPr>
            </w:pPr>
          </w:p>
        </w:tc>
        <w:tc>
          <w:tcPr>
            <w:tcW w:w="490" w:type="pct"/>
            <w:shd w:val="clear" w:color="auto" w:fill="auto"/>
            <w:noWrap/>
            <w:vAlign w:val="center"/>
          </w:tcPr>
          <w:p w14:paraId="2183F75E">
            <w:pPr>
              <w:jc w:val="center"/>
              <w:rPr>
                <w:rFonts w:ascii="宋体" w:hAnsi="宋体" w:cs="宋体"/>
                <w:color w:val="000000"/>
                <w:kern w:val="0"/>
                <w:sz w:val="22"/>
                <w:szCs w:val="22"/>
              </w:rPr>
            </w:pPr>
          </w:p>
        </w:tc>
        <w:tc>
          <w:tcPr>
            <w:tcW w:w="491" w:type="pct"/>
            <w:shd w:val="clear" w:color="auto" w:fill="auto"/>
            <w:noWrap/>
            <w:vAlign w:val="center"/>
          </w:tcPr>
          <w:p w14:paraId="43F63801">
            <w:pPr>
              <w:jc w:val="center"/>
              <w:rPr>
                <w:rFonts w:ascii="宋体" w:hAnsi="宋体" w:cs="宋体"/>
                <w:color w:val="000000"/>
                <w:kern w:val="0"/>
                <w:sz w:val="22"/>
                <w:szCs w:val="22"/>
              </w:rPr>
            </w:pPr>
          </w:p>
        </w:tc>
        <w:tc>
          <w:tcPr>
            <w:tcW w:w="491" w:type="pct"/>
            <w:shd w:val="clear" w:color="auto" w:fill="auto"/>
            <w:noWrap/>
            <w:vAlign w:val="center"/>
          </w:tcPr>
          <w:p w14:paraId="198CBEA5">
            <w:pPr>
              <w:jc w:val="center"/>
              <w:rPr>
                <w:rFonts w:ascii="宋体" w:hAnsi="宋体" w:cs="宋体"/>
                <w:color w:val="000000"/>
                <w:kern w:val="0"/>
                <w:sz w:val="22"/>
                <w:szCs w:val="22"/>
              </w:rPr>
            </w:pPr>
          </w:p>
        </w:tc>
        <w:tc>
          <w:tcPr>
            <w:tcW w:w="491" w:type="pct"/>
            <w:shd w:val="clear" w:color="auto" w:fill="auto"/>
            <w:noWrap/>
            <w:vAlign w:val="center"/>
          </w:tcPr>
          <w:p w14:paraId="4896532D">
            <w:pPr>
              <w:jc w:val="center"/>
              <w:rPr>
                <w:rFonts w:ascii="宋体" w:hAnsi="宋体" w:cs="宋体"/>
                <w:color w:val="000000"/>
                <w:kern w:val="0"/>
                <w:sz w:val="22"/>
                <w:szCs w:val="22"/>
              </w:rPr>
            </w:pPr>
          </w:p>
        </w:tc>
        <w:tc>
          <w:tcPr>
            <w:tcW w:w="491" w:type="pct"/>
            <w:shd w:val="clear" w:color="auto" w:fill="auto"/>
            <w:noWrap/>
            <w:vAlign w:val="center"/>
          </w:tcPr>
          <w:p w14:paraId="0452174B">
            <w:pPr>
              <w:jc w:val="center"/>
              <w:rPr>
                <w:rFonts w:ascii="宋体" w:hAnsi="宋体" w:cs="宋体"/>
                <w:color w:val="000000"/>
                <w:kern w:val="0"/>
                <w:sz w:val="22"/>
                <w:szCs w:val="22"/>
              </w:rPr>
            </w:pPr>
          </w:p>
        </w:tc>
        <w:tc>
          <w:tcPr>
            <w:tcW w:w="587" w:type="pct"/>
            <w:shd w:val="clear" w:color="auto" w:fill="auto"/>
            <w:noWrap/>
            <w:vAlign w:val="center"/>
          </w:tcPr>
          <w:p w14:paraId="4502962B">
            <w:pPr>
              <w:jc w:val="center"/>
              <w:rPr>
                <w:rFonts w:ascii="宋体" w:hAnsi="宋体" w:cs="宋体"/>
                <w:color w:val="000000"/>
                <w:kern w:val="0"/>
                <w:sz w:val="22"/>
                <w:szCs w:val="22"/>
              </w:rPr>
            </w:pPr>
          </w:p>
        </w:tc>
        <w:tc>
          <w:tcPr>
            <w:tcW w:w="683" w:type="pct"/>
            <w:shd w:val="clear" w:color="auto" w:fill="auto"/>
            <w:noWrap/>
            <w:vAlign w:val="center"/>
          </w:tcPr>
          <w:p w14:paraId="339E7F93">
            <w:pPr>
              <w:jc w:val="center"/>
              <w:rPr>
                <w:rFonts w:ascii="宋体" w:hAnsi="宋体" w:cs="宋体"/>
                <w:color w:val="000000"/>
                <w:kern w:val="0"/>
                <w:sz w:val="22"/>
                <w:szCs w:val="22"/>
              </w:rPr>
            </w:pPr>
          </w:p>
        </w:tc>
        <w:tc>
          <w:tcPr>
            <w:tcW w:w="972" w:type="pct"/>
            <w:tcBorders>
              <w:right w:val="single" w:color="auto" w:sz="4" w:space="0"/>
            </w:tcBorders>
            <w:shd w:val="clear" w:color="auto" w:fill="auto"/>
            <w:noWrap/>
            <w:vAlign w:val="center"/>
          </w:tcPr>
          <w:p w14:paraId="07CA5131">
            <w:pPr>
              <w:jc w:val="center"/>
              <w:rPr>
                <w:rFonts w:ascii="宋体" w:hAnsi="宋体" w:cs="宋体"/>
                <w:color w:val="000000"/>
                <w:kern w:val="0"/>
                <w:sz w:val="22"/>
                <w:szCs w:val="22"/>
              </w:rPr>
            </w:pPr>
          </w:p>
        </w:tc>
      </w:tr>
      <w:tr w14:paraId="1E87BF4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4E076164">
            <w:pPr>
              <w:jc w:val="center"/>
              <w:rPr>
                <w:rFonts w:ascii="宋体" w:hAnsi="宋体" w:cs="宋体"/>
                <w:color w:val="000000"/>
                <w:kern w:val="0"/>
                <w:sz w:val="22"/>
                <w:szCs w:val="22"/>
              </w:rPr>
            </w:pPr>
          </w:p>
        </w:tc>
        <w:tc>
          <w:tcPr>
            <w:tcW w:w="490" w:type="pct"/>
            <w:shd w:val="clear" w:color="auto" w:fill="auto"/>
            <w:noWrap/>
            <w:vAlign w:val="center"/>
          </w:tcPr>
          <w:p w14:paraId="244D7DB9">
            <w:pPr>
              <w:jc w:val="center"/>
              <w:rPr>
                <w:rFonts w:ascii="宋体" w:hAnsi="宋体" w:cs="宋体"/>
                <w:color w:val="000000"/>
                <w:kern w:val="0"/>
                <w:sz w:val="22"/>
                <w:szCs w:val="22"/>
              </w:rPr>
            </w:pPr>
          </w:p>
        </w:tc>
        <w:tc>
          <w:tcPr>
            <w:tcW w:w="491" w:type="pct"/>
            <w:shd w:val="clear" w:color="auto" w:fill="auto"/>
            <w:noWrap/>
            <w:vAlign w:val="center"/>
          </w:tcPr>
          <w:p w14:paraId="7F794A45">
            <w:pPr>
              <w:jc w:val="center"/>
              <w:rPr>
                <w:rFonts w:ascii="宋体" w:hAnsi="宋体" w:cs="宋体"/>
                <w:color w:val="000000"/>
                <w:kern w:val="0"/>
                <w:sz w:val="22"/>
                <w:szCs w:val="22"/>
              </w:rPr>
            </w:pPr>
          </w:p>
        </w:tc>
        <w:tc>
          <w:tcPr>
            <w:tcW w:w="491" w:type="pct"/>
            <w:shd w:val="clear" w:color="auto" w:fill="auto"/>
            <w:noWrap/>
            <w:vAlign w:val="center"/>
          </w:tcPr>
          <w:p w14:paraId="596561D4">
            <w:pPr>
              <w:jc w:val="center"/>
              <w:rPr>
                <w:rFonts w:ascii="宋体" w:hAnsi="宋体" w:cs="宋体"/>
                <w:color w:val="000000"/>
                <w:kern w:val="0"/>
                <w:sz w:val="22"/>
                <w:szCs w:val="22"/>
              </w:rPr>
            </w:pPr>
          </w:p>
        </w:tc>
        <w:tc>
          <w:tcPr>
            <w:tcW w:w="491" w:type="pct"/>
            <w:shd w:val="clear" w:color="auto" w:fill="auto"/>
            <w:noWrap/>
            <w:vAlign w:val="center"/>
          </w:tcPr>
          <w:p w14:paraId="3D194FBE">
            <w:pPr>
              <w:jc w:val="center"/>
              <w:rPr>
                <w:rFonts w:ascii="宋体" w:hAnsi="宋体" w:cs="宋体"/>
                <w:color w:val="000000"/>
                <w:kern w:val="0"/>
                <w:sz w:val="22"/>
                <w:szCs w:val="22"/>
              </w:rPr>
            </w:pPr>
          </w:p>
        </w:tc>
        <w:tc>
          <w:tcPr>
            <w:tcW w:w="491" w:type="pct"/>
            <w:shd w:val="clear" w:color="auto" w:fill="auto"/>
            <w:noWrap/>
            <w:vAlign w:val="center"/>
          </w:tcPr>
          <w:p w14:paraId="7DD02037">
            <w:pPr>
              <w:jc w:val="center"/>
              <w:rPr>
                <w:rFonts w:ascii="宋体" w:hAnsi="宋体" w:cs="宋体"/>
                <w:color w:val="000000"/>
                <w:kern w:val="0"/>
                <w:sz w:val="22"/>
                <w:szCs w:val="22"/>
              </w:rPr>
            </w:pPr>
          </w:p>
        </w:tc>
        <w:tc>
          <w:tcPr>
            <w:tcW w:w="587" w:type="pct"/>
            <w:shd w:val="clear" w:color="auto" w:fill="auto"/>
            <w:noWrap/>
            <w:vAlign w:val="center"/>
          </w:tcPr>
          <w:p w14:paraId="25069C07">
            <w:pPr>
              <w:jc w:val="center"/>
              <w:rPr>
                <w:rFonts w:ascii="宋体" w:hAnsi="宋体" w:cs="宋体"/>
                <w:color w:val="000000"/>
                <w:kern w:val="0"/>
                <w:sz w:val="22"/>
                <w:szCs w:val="22"/>
              </w:rPr>
            </w:pPr>
          </w:p>
        </w:tc>
        <w:tc>
          <w:tcPr>
            <w:tcW w:w="683" w:type="pct"/>
            <w:shd w:val="clear" w:color="auto" w:fill="auto"/>
            <w:noWrap/>
            <w:vAlign w:val="center"/>
          </w:tcPr>
          <w:p w14:paraId="2DF46F01">
            <w:pPr>
              <w:jc w:val="center"/>
              <w:rPr>
                <w:rFonts w:ascii="宋体" w:hAnsi="宋体" w:cs="宋体"/>
                <w:color w:val="000000"/>
                <w:kern w:val="0"/>
                <w:sz w:val="22"/>
                <w:szCs w:val="22"/>
              </w:rPr>
            </w:pPr>
          </w:p>
        </w:tc>
        <w:tc>
          <w:tcPr>
            <w:tcW w:w="972" w:type="pct"/>
            <w:tcBorders>
              <w:right w:val="single" w:color="auto" w:sz="4" w:space="0"/>
            </w:tcBorders>
            <w:shd w:val="clear" w:color="auto" w:fill="auto"/>
            <w:noWrap/>
            <w:vAlign w:val="center"/>
          </w:tcPr>
          <w:p w14:paraId="461FF259">
            <w:pPr>
              <w:jc w:val="center"/>
              <w:rPr>
                <w:rFonts w:ascii="宋体" w:hAnsi="宋体" w:cs="宋体"/>
                <w:color w:val="000000"/>
                <w:kern w:val="0"/>
                <w:sz w:val="22"/>
                <w:szCs w:val="22"/>
              </w:rPr>
            </w:pPr>
          </w:p>
        </w:tc>
      </w:tr>
      <w:tr w14:paraId="1E94ACA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4F5250B3">
            <w:pPr>
              <w:jc w:val="center"/>
              <w:rPr>
                <w:rFonts w:ascii="宋体" w:hAnsi="宋体" w:cs="宋体"/>
                <w:color w:val="000000"/>
                <w:kern w:val="0"/>
                <w:sz w:val="22"/>
                <w:szCs w:val="22"/>
              </w:rPr>
            </w:pPr>
          </w:p>
        </w:tc>
        <w:tc>
          <w:tcPr>
            <w:tcW w:w="490" w:type="pct"/>
            <w:shd w:val="clear" w:color="auto" w:fill="auto"/>
            <w:noWrap/>
            <w:vAlign w:val="center"/>
          </w:tcPr>
          <w:p w14:paraId="3B5D403E">
            <w:pPr>
              <w:jc w:val="center"/>
              <w:rPr>
                <w:rFonts w:ascii="宋体" w:hAnsi="宋体" w:cs="宋体"/>
                <w:color w:val="000000"/>
                <w:kern w:val="0"/>
                <w:sz w:val="22"/>
                <w:szCs w:val="22"/>
              </w:rPr>
            </w:pPr>
          </w:p>
        </w:tc>
        <w:tc>
          <w:tcPr>
            <w:tcW w:w="491" w:type="pct"/>
            <w:shd w:val="clear" w:color="auto" w:fill="auto"/>
            <w:noWrap/>
            <w:vAlign w:val="center"/>
          </w:tcPr>
          <w:p w14:paraId="17A349D3">
            <w:pPr>
              <w:jc w:val="center"/>
              <w:rPr>
                <w:rFonts w:ascii="宋体" w:hAnsi="宋体" w:cs="宋体"/>
                <w:color w:val="000000"/>
                <w:kern w:val="0"/>
                <w:sz w:val="22"/>
                <w:szCs w:val="22"/>
              </w:rPr>
            </w:pPr>
          </w:p>
        </w:tc>
        <w:tc>
          <w:tcPr>
            <w:tcW w:w="491" w:type="pct"/>
            <w:shd w:val="clear" w:color="auto" w:fill="auto"/>
            <w:noWrap/>
            <w:vAlign w:val="center"/>
          </w:tcPr>
          <w:p w14:paraId="43B447CC">
            <w:pPr>
              <w:jc w:val="center"/>
              <w:rPr>
                <w:rFonts w:ascii="宋体" w:hAnsi="宋体" w:cs="宋体"/>
                <w:color w:val="000000"/>
                <w:kern w:val="0"/>
                <w:sz w:val="22"/>
                <w:szCs w:val="22"/>
              </w:rPr>
            </w:pPr>
          </w:p>
        </w:tc>
        <w:tc>
          <w:tcPr>
            <w:tcW w:w="491" w:type="pct"/>
            <w:shd w:val="clear" w:color="auto" w:fill="auto"/>
            <w:noWrap/>
            <w:vAlign w:val="center"/>
          </w:tcPr>
          <w:p w14:paraId="6E2F134B">
            <w:pPr>
              <w:jc w:val="center"/>
              <w:rPr>
                <w:rFonts w:ascii="宋体" w:hAnsi="宋体" w:cs="宋体"/>
                <w:color w:val="000000"/>
                <w:kern w:val="0"/>
                <w:sz w:val="22"/>
                <w:szCs w:val="22"/>
              </w:rPr>
            </w:pPr>
          </w:p>
        </w:tc>
        <w:tc>
          <w:tcPr>
            <w:tcW w:w="491" w:type="pct"/>
            <w:shd w:val="clear" w:color="auto" w:fill="auto"/>
            <w:noWrap/>
            <w:vAlign w:val="center"/>
          </w:tcPr>
          <w:p w14:paraId="164031D1">
            <w:pPr>
              <w:jc w:val="center"/>
              <w:rPr>
                <w:rFonts w:ascii="宋体" w:hAnsi="宋体" w:cs="宋体"/>
                <w:color w:val="000000"/>
                <w:kern w:val="0"/>
                <w:sz w:val="22"/>
                <w:szCs w:val="22"/>
              </w:rPr>
            </w:pPr>
          </w:p>
        </w:tc>
        <w:tc>
          <w:tcPr>
            <w:tcW w:w="587" w:type="pct"/>
            <w:shd w:val="clear" w:color="auto" w:fill="auto"/>
            <w:noWrap/>
            <w:vAlign w:val="center"/>
          </w:tcPr>
          <w:p w14:paraId="5AF1ED25">
            <w:pPr>
              <w:jc w:val="center"/>
              <w:rPr>
                <w:rFonts w:ascii="宋体" w:hAnsi="宋体" w:cs="宋体"/>
                <w:color w:val="000000"/>
                <w:kern w:val="0"/>
                <w:sz w:val="22"/>
                <w:szCs w:val="22"/>
              </w:rPr>
            </w:pPr>
          </w:p>
        </w:tc>
        <w:tc>
          <w:tcPr>
            <w:tcW w:w="683" w:type="pct"/>
            <w:shd w:val="clear" w:color="auto" w:fill="auto"/>
            <w:noWrap/>
            <w:vAlign w:val="center"/>
          </w:tcPr>
          <w:p w14:paraId="759DC44F">
            <w:pPr>
              <w:jc w:val="center"/>
              <w:rPr>
                <w:rFonts w:ascii="宋体" w:hAnsi="宋体" w:cs="宋体"/>
                <w:color w:val="000000"/>
                <w:kern w:val="0"/>
                <w:sz w:val="22"/>
                <w:szCs w:val="22"/>
              </w:rPr>
            </w:pPr>
          </w:p>
        </w:tc>
        <w:tc>
          <w:tcPr>
            <w:tcW w:w="972" w:type="pct"/>
            <w:tcBorders>
              <w:right w:val="single" w:color="auto" w:sz="4" w:space="0"/>
            </w:tcBorders>
            <w:shd w:val="clear" w:color="auto" w:fill="auto"/>
            <w:noWrap/>
            <w:vAlign w:val="center"/>
          </w:tcPr>
          <w:p w14:paraId="6AA75785">
            <w:pPr>
              <w:jc w:val="center"/>
              <w:rPr>
                <w:rFonts w:ascii="宋体" w:hAnsi="宋体" w:cs="宋体"/>
                <w:color w:val="000000"/>
                <w:kern w:val="0"/>
                <w:sz w:val="22"/>
                <w:szCs w:val="22"/>
              </w:rPr>
            </w:pPr>
          </w:p>
        </w:tc>
      </w:tr>
      <w:tr w14:paraId="2D0E8FE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7C53C5AE">
            <w:pPr>
              <w:jc w:val="center"/>
              <w:rPr>
                <w:rFonts w:ascii="宋体" w:hAnsi="宋体" w:cs="宋体"/>
                <w:color w:val="000000"/>
                <w:kern w:val="0"/>
                <w:sz w:val="22"/>
                <w:szCs w:val="22"/>
              </w:rPr>
            </w:pPr>
          </w:p>
        </w:tc>
        <w:tc>
          <w:tcPr>
            <w:tcW w:w="490" w:type="pct"/>
            <w:shd w:val="clear" w:color="auto" w:fill="auto"/>
            <w:noWrap/>
            <w:vAlign w:val="center"/>
          </w:tcPr>
          <w:p w14:paraId="30546914">
            <w:pPr>
              <w:jc w:val="center"/>
              <w:rPr>
                <w:rFonts w:ascii="宋体" w:hAnsi="宋体" w:cs="宋体"/>
                <w:color w:val="000000"/>
                <w:kern w:val="0"/>
                <w:sz w:val="22"/>
                <w:szCs w:val="22"/>
              </w:rPr>
            </w:pPr>
          </w:p>
        </w:tc>
        <w:tc>
          <w:tcPr>
            <w:tcW w:w="491" w:type="pct"/>
            <w:shd w:val="clear" w:color="auto" w:fill="auto"/>
            <w:noWrap/>
            <w:vAlign w:val="center"/>
          </w:tcPr>
          <w:p w14:paraId="5332F2AF">
            <w:pPr>
              <w:jc w:val="center"/>
              <w:rPr>
                <w:rFonts w:ascii="宋体" w:hAnsi="宋体" w:cs="宋体"/>
                <w:color w:val="000000"/>
                <w:kern w:val="0"/>
                <w:sz w:val="22"/>
                <w:szCs w:val="22"/>
              </w:rPr>
            </w:pPr>
          </w:p>
        </w:tc>
        <w:tc>
          <w:tcPr>
            <w:tcW w:w="491" w:type="pct"/>
            <w:shd w:val="clear" w:color="auto" w:fill="auto"/>
            <w:noWrap/>
            <w:vAlign w:val="center"/>
          </w:tcPr>
          <w:p w14:paraId="6AD2AC85">
            <w:pPr>
              <w:jc w:val="center"/>
              <w:rPr>
                <w:rFonts w:ascii="宋体" w:hAnsi="宋体" w:cs="宋体"/>
                <w:color w:val="000000"/>
                <w:kern w:val="0"/>
                <w:sz w:val="22"/>
                <w:szCs w:val="22"/>
              </w:rPr>
            </w:pPr>
          </w:p>
        </w:tc>
        <w:tc>
          <w:tcPr>
            <w:tcW w:w="491" w:type="pct"/>
            <w:shd w:val="clear" w:color="auto" w:fill="auto"/>
            <w:noWrap/>
            <w:vAlign w:val="center"/>
          </w:tcPr>
          <w:p w14:paraId="47E05D01">
            <w:pPr>
              <w:jc w:val="center"/>
              <w:rPr>
                <w:rFonts w:ascii="宋体" w:hAnsi="宋体" w:cs="宋体"/>
                <w:color w:val="000000"/>
                <w:kern w:val="0"/>
                <w:sz w:val="22"/>
                <w:szCs w:val="22"/>
              </w:rPr>
            </w:pPr>
          </w:p>
        </w:tc>
        <w:tc>
          <w:tcPr>
            <w:tcW w:w="491" w:type="pct"/>
            <w:shd w:val="clear" w:color="auto" w:fill="auto"/>
            <w:noWrap/>
            <w:vAlign w:val="center"/>
          </w:tcPr>
          <w:p w14:paraId="37FC218D">
            <w:pPr>
              <w:jc w:val="center"/>
              <w:rPr>
                <w:rFonts w:ascii="宋体" w:hAnsi="宋体" w:cs="宋体"/>
                <w:color w:val="000000"/>
                <w:kern w:val="0"/>
                <w:sz w:val="22"/>
                <w:szCs w:val="22"/>
              </w:rPr>
            </w:pPr>
          </w:p>
        </w:tc>
        <w:tc>
          <w:tcPr>
            <w:tcW w:w="587" w:type="pct"/>
            <w:shd w:val="clear" w:color="auto" w:fill="auto"/>
            <w:noWrap/>
            <w:vAlign w:val="center"/>
          </w:tcPr>
          <w:p w14:paraId="11D7C01A">
            <w:pPr>
              <w:jc w:val="center"/>
              <w:rPr>
                <w:rFonts w:ascii="宋体" w:hAnsi="宋体" w:cs="宋体"/>
                <w:color w:val="000000"/>
                <w:kern w:val="0"/>
                <w:sz w:val="22"/>
                <w:szCs w:val="22"/>
              </w:rPr>
            </w:pPr>
          </w:p>
        </w:tc>
        <w:tc>
          <w:tcPr>
            <w:tcW w:w="683" w:type="pct"/>
            <w:shd w:val="clear" w:color="auto" w:fill="auto"/>
            <w:noWrap/>
            <w:vAlign w:val="center"/>
          </w:tcPr>
          <w:p w14:paraId="34BC69C4">
            <w:pPr>
              <w:jc w:val="center"/>
              <w:rPr>
                <w:rFonts w:ascii="宋体" w:hAnsi="宋体" w:cs="宋体"/>
                <w:color w:val="000000"/>
                <w:kern w:val="0"/>
                <w:sz w:val="22"/>
                <w:szCs w:val="22"/>
              </w:rPr>
            </w:pPr>
          </w:p>
        </w:tc>
        <w:tc>
          <w:tcPr>
            <w:tcW w:w="972" w:type="pct"/>
            <w:tcBorders>
              <w:right w:val="single" w:color="auto" w:sz="4" w:space="0"/>
            </w:tcBorders>
            <w:shd w:val="clear" w:color="auto" w:fill="auto"/>
            <w:noWrap/>
            <w:vAlign w:val="center"/>
          </w:tcPr>
          <w:p w14:paraId="40DC1DB7">
            <w:pPr>
              <w:jc w:val="center"/>
              <w:rPr>
                <w:rFonts w:ascii="宋体" w:hAnsi="宋体" w:cs="宋体"/>
                <w:color w:val="000000"/>
                <w:kern w:val="0"/>
                <w:sz w:val="22"/>
                <w:szCs w:val="22"/>
              </w:rPr>
            </w:pPr>
          </w:p>
        </w:tc>
      </w:tr>
      <w:tr w14:paraId="1F996D2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024C0A47">
            <w:pPr>
              <w:jc w:val="center"/>
              <w:rPr>
                <w:rFonts w:ascii="宋体" w:hAnsi="宋体" w:cs="宋体"/>
                <w:color w:val="000000"/>
                <w:kern w:val="0"/>
                <w:sz w:val="22"/>
                <w:szCs w:val="22"/>
              </w:rPr>
            </w:pPr>
          </w:p>
        </w:tc>
        <w:tc>
          <w:tcPr>
            <w:tcW w:w="490" w:type="pct"/>
            <w:shd w:val="clear" w:color="auto" w:fill="auto"/>
            <w:noWrap/>
            <w:vAlign w:val="center"/>
          </w:tcPr>
          <w:p w14:paraId="252D77CD">
            <w:pPr>
              <w:jc w:val="center"/>
              <w:rPr>
                <w:rFonts w:ascii="宋体" w:hAnsi="宋体" w:cs="宋体"/>
                <w:color w:val="000000"/>
                <w:kern w:val="0"/>
                <w:sz w:val="22"/>
                <w:szCs w:val="22"/>
              </w:rPr>
            </w:pPr>
          </w:p>
        </w:tc>
        <w:tc>
          <w:tcPr>
            <w:tcW w:w="491" w:type="pct"/>
            <w:shd w:val="clear" w:color="auto" w:fill="auto"/>
            <w:noWrap/>
            <w:vAlign w:val="center"/>
          </w:tcPr>
          <w:p w14:paraId="6BE83C9D">
            <w:pPr>
              <w:jc w:val="center"/>
              <w:rPr>
                <w:rFonts w:ascii="宋体" w:hAnsi="宋体" w:cs="宋体"/>
                <w:color w:val="000000"/>
                <w:kern w:val="0"/>
                <w:sz w:val="22"/>
                <w:szCs w:val="22"/>
              </w:rPr>
            </w:pPr>
          </w:p>
        </w:tc>
        <w:tc>
          <w:tcPr>
            <w:tcW w:w="491" w:type="pct"/>
            <w:shd w:val="clear" w:color="auto" w:fill="auto"/>
            <w:noWrap/>
            <w:vAlign w:val="center"/>
          </w:tcPr>
          <w:p w14:paraId="0E0A0DC4">
            <w:pPr>
              <w:jc w:val="center"/>
              <w:rPr>
                <w:rFonts w:ascii="宋体" w:hAnsi="宋体" w:cs="宋体"/>
                <w:color w:val="000000"/>
                <w:kern w:val="0"/>
                <w:sz w:val="22"/>
                <w:szCs w:val="22"/>
              </w:rPr>
            </w:pPr>
          </w:p>
        </w:tc>
        <w:tc>
          <w:tcPr>
            <w:tcW w:w="491" w:type="pct"/>
            <w:shd w:val="clear" w:color="auto" w:fill="auto"/>
            <w:noWrap/>
            <w:vAlign w:val="center"/>
          </w:tcPr>
          <w:p w14:paraId="42D1BF18">
            <w:pPr>
              <w:jc w:val="center"/>
              <w:rPr>
                <w:rFonts w:ascii="宋体" w:hAnsi="宋体" w:cs="宋体"/>
                <w:color w:val="000000"/>
                <w:kern w:val="0"/>
                <w:sz w:val="22"/>
                <w:szCs w:val="22"/>
              </w:rPr>
            </w:pPr>
          </w:p>
        </w:tc>
        <w:tc>
          <w:tcPr>
            <w:tcW w:w="491" w:type="pct"/>
            <w:shd w:val="clear" w:color="auto" w:fill="auto"/>
            <w:noWrap/>
            <w:vAlign w:val="center"/>
          </w:tcPr>
          <w:p w14:paraId="1B9926ED">
            <w:pPr>
              <w:jc w:val="center"/>
              <w:rPr>
                <w:rFonts w:ascii="宋体" w:hAnsi="宋体" w:cs="宋体"/>
                <w:color w:val="000000"/>
                <w:kern w:val="0"/>
                <w:sz w:val="22"/>
                <w:szCs w:val="22"/>
              </w:rPr>
            </w:pPr>
          </w:p>
        </w:tc>
        <w:tc>
          <w:tcPr>
            <w:tcW w:w="587" w:type="pct"/>
            <w:shd w:val="clear" w:color="auto" w:fill="auto"/>
            <w:noWrap/>
            <w:vAlign w:val="center"/>
          </w:tcPr>
          <w:p w14:paraId="22DEE75F">
            <w:pPr>
              <w:jc w:val="center"/>
              <w:rPr>
                <w:rFonts w:ascii="宋体" w:hAnsi="宋体" w:cs="宋体"/>
                <w:color w:val="000000"/>
                <w:kern w:val="0"/>
                <w:sz w:val="22"/>
                <w:szCs w:val="22"/>
              </w:rPr>
            </w:pPr>
          </w:p>
        </w:tc>
        <w:tc>
          <w:tcPr>
            <w:tcW w:w="683" w:type="pct"/>
            <w:shd w:val="clear" w:color="auto" w:fill="auto"/>
            <w:noWrap/>
            <w:vAlign w:val="center"/>
          </w:tcPr>
          <w:p w14:paraId="7F965CBD">
            <w:pPr>
              <w:jc w:val="center"/>
              <w:rPr>
                <w:rFonts w:ascii="宋体" w:hAnsi="宋体" w:cs="宋体"/>
                <w:color w:val="000000"/>
                <w:kern w:val="0"/>
                <w:sz w:val="22"/>
                <w:szCs w:val="22"/>
              </w:rPr>
            </w:pPr>
          </w:p>
        </w:tc>
        <w:tc>
          <w:tcPr>
            <w:tcW w:w="972" w:type="pct"/>
            <w:tcBorders>
              <w:right w:val="single" w:color="auto" w:sz="4" w:space="0"/>
            </w:tcBorders>
            <w:shd w:val="clear" w:color="auto" w:fill="auto"/>
            <w:noWrap/>
            <w:vAlign w:val="center"/>
          </w:tcPr>
          <w:p w14:paraId="480221B9">
            <w:pPr>
              <w:jc w:val="center"/>
              <w:rPr>
                <w:rFonts w:ascii="宋体" w:hAnsi="宋体" w:cs="宋体"/>
                <w:color w:val="000000"/>
                <w:kern w:val="0"/>
                <w:sz w:val="22"/>
                <w:szCs w:val="22"/>
              </w:rPr>
            </w:pPr>
          </w:p>
        </w:tc>
      </w:tr>
    </w:tbl>
    <w:p w14:paraId="42C25569">
      <w:pPr>
        <w:jc w:val="left"/>
        <w:rPr>
          <w:rFonts w:hint="eastAsia" w:ascii="宋体" w:hAnsi="宋体"/>
          <w:color w:val="auto"/>
          <w:sz w:val="24"/>
          <w:shd w:val="clear" w:color="auto" w:fill="FFFFFF"/>
          <w:lang w:eastAsia="zh-CN"/>
        </w:rPr>
        <w:sectPr>
          <w:pgSz w:w="11906" w:h="16838"/>
          <w:pgMar w:top="1134" w:right="1418" w:bottom="1134" w:left="1418" w:header="851" w:footer="992" w:gutter="0"/>
          <w:cols w:space="0" w:num="1"/>
          <w:docGrid w:type="lines" w:linePitch="312" w:charSpace="0"/>
        </w:sectPr>
      </w:pPr>
    </w:p>
    <w:p w14:paraId="1CBCA871">
      <w:pPr>
        <w:jc w:val="both"/>
        <w:rPr>
          <w:rFonts w:hint="eastAsia" w:ascii="宋体" w:hAnsi="宋体" w:cs="宋体"/>
          <w:b/>
          <w:color w:val="000000"/>
          <w:kern w:val="0"/>
          <w:sz w:val="32"/>
          <w:szCs w:val="32"/>
        </w:rPr>
      </w:pPr>
    </w:p>
    <w:p w14:paraId="5D6E5553">
      <w:pPr>
        <w:tabs>
          <w:tab w:val="decimal" w:pos="315"/>
          <w:tab w:val="left" w:pos="630"/>
        </w:tabs>
        <w:spacing w:line="360" w:lineRule="auto"/>
        <w:jc w:val="center"/>
        <w:rPr>
          <w:rFonts w:hint="eastAsia" w:eastAsia="宋体"/>
          <w:highlight w:val="none"/>
          <w:lang w:eastAsia="zh-CN"/>
        </w:rPr>
      </w:pPr>
      <w:r>
        <w:rPr>
          <w:rFonts w:hint="eastAsia" w:ascii="Times New Roman" w:hAnsi="Times New Roman"/>
          <w:bCs w:val="0"/>
          <w:sz w:val="44"/>
          <w:szCs w:val="44"/>
          <w:highlight w:val="none"/>
          <w:lang w:eastAsia="zh-CN"/>
        </w:rPr>
        <w:t>七、响应文件格式</w:t>
      </w:r>
    </w:p>
    <w:p w14:paraId="0D4143D6">
      <w:pPr>
        <w:pStyle w:val="35"/>
        <w:numPr>
          <w:ilvl w:val="0"/>
          <w:numId w:val="3"/>
        </w:numPr>
        <w:ind w:left="630" w:leftChars="0" w:firstLineChars="0"/>
        <w:outlineLvl w:val="1"/>
        <w:rPr>
          <w:rFonts w:hint="eastAsia"/>
          <w:b/>
          <w:bCs/>
          <w:highlight w:val="none"/>
        </w:rPr>
      </w:pPr>
      <w:bookmarkStart w:id="0" w:name="_Toc131270561"/>
      <w:r>
        <w:rPr>
          <w:rFonts w:hint="eastAsia"/>
          <w:b/>
          <w:bCs/>
          <w:highlight w:val="none"/>
        </w:rPr>
        <w:t>法定代表人证明书</w:t>
      </w:r>
      <w:bookmarkEnd w:id="0"/>
    </w:p>
    <w:p w14:paraId="5FE5905B">
      <w:pPr>
        <w:pStyle w:val="35"/>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5"/>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9"/>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ab/>
      </w:r>
      <w:r>
        <w:rPr>
          <w:sz w:val="24"/>
          <w:highlight w:val="none"/>
        </w:rPr>
        <w:t>职务，为法定代表人，特此证明。</w:t>
      </w:r>
    </w:p>
    <w:p w14:paraId="6FBB2FDA">
      <w:pPr>
        <w:pStyle w:val="9"/>
        <w:tabs>
          <w:tab w:val="left" w:pos="1020"/>
          <w:tab w:val="left" w:pos="3223"/>
          <w:tab w:val="left" w:pos="3947"/>
          <w:tab w:val="left" w:pos="7064"/>
        </w:tabs>
        <w:ind w:firstLine="480" w:firstLineChars="200"/>
        <w:rPr>
          <w:rFonts w:hint="eastAsia" w:eastAsia="宋体"/>
          <w:sz w:val="24"/>
          <w:highlight w:val="none"/>
          <w:u w:val="single"/>
          <w:lang w:eastAsia="zh-CN"/>
        </w:rPr>
      </w:pPr>
      <w:r>
        <w:rPr>
          <w:sz w:val="24"/>
          <w:highlight w:val="none"/>
        </w:rPr>
        <w:t>有效期限：</w:t>
      </w:r>
      <w:r>
        <w:rPr>
          <w:rFonts w:hint="eastAsia"/>
          <w:sz w:val="24"/>
          <w:highlight w:val="none"/>
          <w:u w:val="single"/>
        </w:rPr>
        <w:t>与响应有效期一致。</w:t>
      </w:r>
    </w:p>
    <w:p w14:paraId="6CDB82F2">
      <w:pPr>
        <w:pStyle w:val="9"/>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ab/>
      </w:r>
      <w:r>
        <w:rPr>
          <w:sz w:val="24"/>
          <w:highlight w:val="none"/>
        </w:rPr>
        <w:t>年龄：身份证号码：</w:t>
      </w:r>
      <w:r>
        <w:rPr>
          <w:sz w:val="24"/>
          <w:highlight w:val="none"/>
          <w:u w:val="single"/>
        </w:rPr>
        <w:tab/>
      </w:r>
    </w:p>
    <w:p w14:paraId="131E4C4E">
      <w:pPr>
        <w:pStyle w:val="9"/>
        <w:tabs>
          <w:tab w:val="left" w:pos="1020"/>
          <w:tab w:val="left" w:pos="3223"/>
          <w:tab w:val="left" w:pos="3947"/>
          <w:tab w:val="left" w:pos="7064"/>
        </w:tabs>
        <w:ind w:firstLine="480" w:firstLineChars="200"/>
        <w:rPr>
          <w:rFonts w:hint="eastAsia" w:eastAsia="宋体"/>
          <w:sz w:val="24"/>
          <w:highlight w:val="none"/>
          <w:u w:val="single"/>
          <w:lang w:eastAsia="zh-CN"/>
        </w:rPr>
      </w:pPr>
      <w:r>
        <w:rPr>
          <w:sz w:val="24"/>
          <w:highlight w:val="none"/>
        </w:rPr>
        <w:t>注册号码：</w:t>
      </w:r>
      <w:r>
        <w:rPr>
          <w:sz w:val="24"/>
          <w:highlight w:val="none"/>
          <w:u w:val="single"/>
        </w:rPr>
        <w:tab/>
      </w:r>
      <w:r>
        <w:rPr>
          <w:sz w:val="24"/>
          <w:highlight w:val="none"/>
          <w:u w:val="single"/>
        </w:rPr>
        <w:tab/>
      </w:r>
      <w:r>
        <w:rPr>
          <w:sz w:val="24"/>
          <w:highlight w:val="none"/>
        </w:rPr>
        <w:t>企业类型：</w:t>
      </w:r>
      <w:r>
        <w:rPr>
          <w:sz w:val="24"/>
          <w:highlight w:val="none"/>
          <w:u w:val="single"/>
        </w:rPr>
        <w:tab/>
      </w:r>
    </w:p>
    <w:p w14:paraId="261B9FDE">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ab/>
      </w:r>
      <w:r>
        <w:rPr>
          <w:sz w:val="24"/>
          <w:highlight w:val="none"/>
          <w:u w:val="single"/>
        </w:rPr>
        <w:tab/>
      </w:r>
    </w:p>
    <w:p w14:paraId="10A38632">
      <w:pPr>
        <w:pStyle w:val="9"/>
        <w:tabs>
          <w:tab w:val="left" w:pos="1020"/>
          <w:tab w:val="left" w:pos="3223"/>
          <w:tab w:val="left" w:pos="3947"/>
          <w:tab w:val="left" w:pos="7064"/>
        </w:tabs>
        <w:spacing w:line="480" w:lineRule="auto"/>
        <w:ind w:right="-35"/>
        <w:rPr>
          <w:rFonts w:hint="eastAsia"/>
          <w:sz w:val="24"/>
          <w:highlight w:val="none"/>
        </w:rPr>
      </w:pPr>
    </w:p>
    <w:p w14:paraId="5B75492E">
      <w:pPr>
        <w:pStyle w:val="9"/>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w:t>
      </w:r>
    </w:p>
    <w:p w14:paraId="63087DDD">
      <w:pPr>
        <w:pStyle w:val="9"/>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w:t>
      </w:r>
    </w:p>
    <w:p w14:paraId="3FB54C3F">
      <w:pPr>
        <w:pStyle w:val="9"/>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w:t>
      </w:r>
    </w:p>
    <w:p w14:paraId="4B7613C1">
      <w:pPr>
        <w:pStyle w:val="9"/>
        <w:spacing w:line="480" w:lineRule="auto"/>
        <w:jc w:val="right"/>
        <w:rPr>
          <w:rFonts w:hint="eastAsia"/>
          <w:sz w:val="24"/>
          <w:highlight w:val="none"/>
        </w:rPr>
      </w:pPr>
      <w:r>
        <w:rPr>
          <w:sz w:val="24"/>
          <w:highlight w:val="none"/>
        </w:rPr>
        <w:t>职务：</w:t>
      </w:r>
      <w:r>
        <w:rPr>
          <w:sz w:val="24"/>
          <w:highlight w:val="none"/>
          <w:u w:val="single"/>
        </w:rPr>
        <w:t>.</w:t>
      </w:r>
    </w:p>
    <w:p w14:paraId="6ABCC4E1">
      <w:pPr>
        <w:pStyle w:val="9"/>
        <w:spacing w:line="480" w:lineRule="auto"/>
        <w:jc w:val="right"/>
        <w:rPr>
          <w:rFonts w:hint="eastAsia"/>
          <w:sz w:val="24"/>
          <w:highlight w:val="none"/>
        </w:rPr>
      </w:pPr>
      <w:r>
        <w:rPr>
          <w:sz w:val="24"/>
          <w:highlight w:val="none"/>
        </w:rPr>
        <w:t>日期：年月日</w:t>
      </w:r>
    </w:p>
    <w:p w14:paraId="0DBC6EB8">
      <w:pPr>
        <w:pStyle w:val="35"/>
        <w:ind w:firstLine="0" w:firstLineChars="0"/>
        <w:rPr>
          <w:rFonts w:hint="eastAsia"/>
          <w:sz w:val="21"/>
          <w:szCs w:val="21"/>
          <w:highlight w:val="none"/>
        </w:rPr>
      </w:pPr>
    </w:p>
    <w:p w14:paraId="352940D0">
      <w:pPr>
        <w:rPr>
          <w:rFonts w:hint="eastAsia"/>
          <w:b/>
          <w:sz w:val="24"/>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413B5310">
      <w:pPr>
        <w:rPr>
          <w:rFonts w:hint="eastAsia"/>
          <w:szCs w:val="21"/>
          <w:highlight w:val="none"/>
        </w:rPr>
      </w:pPr>
      <w:r>
        <w:rPr>
          <w:rFonts w:hint="eastAsia"/>
          <w:b/>
          <w:szCs w:val="21"/>
          <w:highlight w:val="none"/>
        </w:rPr>
        <w:t>说明：供应商应须提供法定代表人身份证复印件，否则作无效响应处理。</w:t>
      </w:r>
    </w:p>
    <w:p w14:paraId="2029ABC7">
      <w:pPr>
        <w:pStyle w:val="35"/>
        <w:numPr>
          <w:ilvl w:val="0"/>
          <w:numId w:val="3"/>
        </w:numPr>
        <w:ind w:left="630" w:leftChars="0" w:firstLineChars="0"/>
        <w:outlineLvl w:val="1"/>
        <w:rPr>
          <w:rFonts w:hint="eastAsia"/>
          <w:b/>
          <w:bCs/>
          <w:highlight w:val="none"/>
        </w:rPr>
      </w:pPr>
      <w:bookmarkStart w:id="1" w:name="_Toc131270562"/>
      <w:r>
        <w:rPr>
          <w:rFonts w:hint="eastAsia"/>
          <w:b/>
          <w:bCs/>
          <w:highlight w:val="none"/>
        </w:rPr>
        <w:t>法定代表人授权书</w:t>
      </w:r>
      <w:bookmarkEnd w:id="1"/>
    </w:p>
    <w:p w14:paraId="0AC85283">
      <w:pPr>
        <w:pStyle w:val="35"/>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5"/>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9"/>
        <w:rPr>
          <w:rFonts w:hint="eastAsia"/>
          <w:sz w:val="24"/>
          <w:highlight w:val="none"/>
        </w:rPr>
      </w:pPr>
      <w:r>
        <w:rPr>
          <w:sz w:val="24"/>
          <w:highlight w:val="none"/>
        </w:rPr>
        <w:t>致：</w:t>
      </w:r>
      <w:r>
        <w:rPr>
          <w:rFonts w:hint="eastAsia"/>
          <w:sz w:val="24"/>
          <w:highlight w:val="none"/>
          <w:u w:val="single"/>
        </w:rPr>
        <w:t>（采购人名称）</w:t>
      </w:r>
    </w:p>
    <w:p w14:paraId="05F0EBCE">
      <w:pPr>
        <w:pStyle w:val="9"/>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ab/>
      </w:r>
      <w:r>
        <w:rPr>
          <w:sz w:val="24"/>
          <w:highlight w:val="none"/>
        </w:rPr>
        <w:t>是注册于</w:t>
      </w:r>
      <w:r>
        <w:rPr>
          <w:sz w:val="24"/>
          <w:highlight w:val="none"/>
          <w:u w:val="single"/>
        </w:rPr>
        <w:t>（国家或地区）</w:t>
      </w:r>
      <w:r>
        <w:rPr>
          <w:sz w:val="24"/>
          <w:highlight w:val="none"/>
        </w:rPr>
        <w:t>的</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ab/>
      </w:r>
      <w:r>
        <w:rPr>
          <w:w w:val="110"/>
          <w:sz w:val="24"/>
          <w:highlight w:val="none"/>
        </w:rPr>
        <w:t>职务，有效证件号码：</w:t>
      </w:r>
      <w:r>
        <w:rPr>
          <w:sz w:val="24"/>
          <w:highlight w:val="none"/>
        </w:rPr>
        <w:t>。现授权</w:t>
      </w:r>
      <w:r>
        <w:rPr>
          <w:sz w:val="24"/>
          <w:highlight w:val="none"/>
          <w:u w:val="single"/>
        </w:rPr>
        <w:t>（姓名、职务）</w:t>
      </w:r>
      <w:r>
        <w:rPr>
          <w:sz w:val="24"/>
          <w:highlight w:val="none"/>
        </w:rPr>
        <w:t>作为我公司的全权代理人，就</w:t>
      </w:r>
      <w:r>
        <w:rPr>
          <w:rFonts w:hint="eastAsia"/>
          <w:sz w:val="24"/>
          <w:highlight w:val="none"/>
          <w:u w:val="single"/>
        </w:rPr>
        <w:t>（项目名称）</w:t>
      </w:r>
      <w:r>
        <w:rPr>
          <w:rFonts w:hint="eastAsia"/>
          <w:sz w:val="24"/>
          <w:highlight w:val="none"/>
        </w:rPr>
        <w:t>采购[项目编号为</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9"/>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ab/>
      </w:r>
      <w:r>
        <w:rPr>
          <w:sz w:val="24"/>
          <w:highlight w:val="none"/>
        </w:rPr>
        <w:t>年月日签字生效，特此声明。</w:t>
      </w:r>
    </w:p>
    <w:p w14:paraId="587765A8">
      <w:pPr>
        <w:pStyle w:val="35"/>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rPr>
        <w:t>年月日</w:t>
      </w:r>
    </w:p>
    <w:p w14:paraId="1D94FF27">
      <w:pPr>
        <w:rPr>
          <w:rFonts w:hint="eastAsia"/>
          <w:b/>
          <w:szCs w:val="21"/>
          <w:highlight w:val="none"/>
        </w:rPr>
      </w:pPr>
    </w:p>
    <w:tbl>
      <w:tblPr>
        <w:tblStyle w:val="20"/>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5"/>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5"/>
        <w:tabs>
          <w:tab w:val="decimal" w:pos="315"/>
          <w:tab w:val="left" w:pos="630"/>
        </w:tabs>
        <w:ind w:firstLine="422"/>
        <w:rPr>
          <w:rFonts w:hint="eastAsia"/>
          <w:b/>
          <w:bCs/>
          <w:sz w:val="21"/>
          <w:szCs w:val="21"/>
          <w:highlight w:val="none"/>
        </w:rPr>
      </w:pPr>
    </w:p>
    <w:p w14:paraId="27D55E85">
      <w:pPr>
        <w:pStyle w:val="35"/>
        <w:tabs>
          <w:tab w:val="decimal" w:pos="315"/>
          <w:tab w:val="left" w:pos="630"/>
        </w:tabs>
        <w:ind w:firstLine="422"/>
        <w:rPr>
          <w:rFonts w:hint="eastAsia"/>
          <w:b/>
          <w:bCs/>
          <w:sz w:val="21"/>
          <w:szCs w:val="21"/>
          <w:highlight w:val="none"/>
        </w:rPr>
      </w:pPr>
    </w:p>
    <w:p w14:paraId="2EE67AD3">
      <w:pPr>
        <w:pStyle w:val="35"/>
        <w:tabs>
          <w:tab w:val="decimal" w:pos="315"/>
          <w:tab w:val="left" w:pos="630"/>
        </w:tabs>
        <w:ind w:firstLine="422"/>
        <w:rPr>
          <w:rFonts w:hint="eastAsia"/>
          <w:b/>
          <w:bCs/>
          <w:sz w:val="21"/>
          <w:szCs w:val="21"/>
          <w:highlight w:val="none"/>
        </w:rPr>
      </w:pPr>
    </w:p>
    <w:p w14:paraId="1F804BB2">
      <w:pPr>
        <w:pStyle w:val="35"/>
        <w:numPr>
          <w:ilvl w:val="0"/>
          <w:numId w:val="3"/>
        </w:numPr>
        <w:ind w:left="630" w:leftChars="0" w:firstLineChars="0"/>
        <w:outlineLvl w:val="1"/>
        <w:rPr>
          <w:rFonts w:hint="eastAsia"/>
          <w:b/>
          <w:bCs/>
          <w:highlight w:val="none"/>
        </w:rPr>
      </w:pPr>
      <w:bookmarkStart w:id="2" w:name="_Toc131270559"/>
      <w:r>
        <w:rPr>
          <w:rFonts w:hint="eastAsia"/>
          <w:b/>
          <w:bCs/>
          <w:highlight w:val="none"/>
        </w:rPr>
        <w:t>报价表</w:t>
      </w:r>
      <w:bookmarkEnd w:id="2"/>
    </w:p>
    <w:p w14:paraId="2FB61C9D">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1报价一览表</w:t>
      </w:r>
    </w:p>
    <w:tbl>
      <w:tblPr>
        <w:tblStyle w:val="20"/>
        <w:tblW w:w="5000" w:type="pct"/>
        <w:jc w:val="center"/>
        <w:tblLayout w:type="autofit"/>
        <w:tblCellMar>
          <w:top w:w="0" w:type="dxa"/>
          <w:left w:w="108" w:type="dxa"/>
          <w:bottom w:w="0" w:type="dxa"/>
          <w:right w:w="108" w:type="dxa"/>
        </w:tblCellMar>
      </w:tblPr>
      <w:tblGrid>
        <w:gridCol w:w="1174"/>
        <w:gridCol w:w="2150"/>
        <w:gridCol w:w="1324"/>
        <w:gridCol w:w="4726"/>
      </w:tblGrid>
      <w:tr w14:paraId="393B6C27">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42102AD6">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项目编号</w:t>
            </w:r>
          </w:p>
        </w:tc>
        <w:tc>
          <w:tcPr>
            <w:tcW w:w="1147" w:type="pct"/>
            <w:tcBorders>
              <w:top w:val="single" w:color="auto" w:sz="4" w:space="0"/>
              <w:left w:val="nil"/>
              <w:bottom w:val="single" w:color="auto" w:sz="4" w:space="0"/>
              <w:right w:val="single" w:color="auto" w:sz="4" w:space="0"/>
            </w:tcBorders>
            <w:vAlign w:val="center"/>
          </w:tcPr>
          <w:p w14:paraId="56716CC5">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宋体" w:hAnsi="宋体" w:eastAsia="宋体" w:cs="宋体"/>
                <w:b w:val="0"/>
                <w:bCs w:val="0"/>
                <w:color w:val="auto"/>
                <w:highlight w:val="none"/>
                <w:lang w:eastAsia="zh-CN"/>
              </w:rPr>
              <w:t>202</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lang w:eastAsia="zh-CN"/>
              </w:rPr>
              <w:t>ZYY</w:t>
            </w:r>
            <w:r>
              <w:rPr>
                <w:rFonts w:hint="eastAsia" w:ascii="宋体" w:hAnsi="宋体" w:cs="宋体"/>
                <w:b w:val="0"/>
                <w:bCs w:val="0"/>
                <w:color w:val="auto"/>
                <w:highlight w:val="none"/>
                <w:lang w:val="en-US" w:eastAsia="zh-CN"/>
              </w:rPr>
              <w:t>-LX</w:t>
            </w:r>
            <w:r>
              <w:rPr>
                <w:rFonts w:hint="eastAsia" w:ascii="宋体" w:hAnsi="宋体" w:eastAsia="宋体" w:cs="宋体"/>
                <w:b w:val="0"/>
                <w:bCs w:val="0"/>
                <w:color w:val="auto"/>
                <w:highlight w:val="none"/>
                <w:lang w:eastAsia="zh-CN"/>
              </w:rPr>
              <w:t>00</w:t>
            </w:r>
            <w:r>
              <w:rPr>
                <w:rFonts w:hint="eastAsia" w:ascii="宋体" w:hAnsi="宋体" w:cs="宋体"/>
                <w:b w:val="0"/>
                <w:bCs w:val="0"/>
                <w:color w:val="auto"/>
                <w:highlight w:val="none"/>
                <w:lang w:val="en-US" w:eastAsia="zh-CN"/>
              </w:rPr>
              <w:t>3</w:t>
            </w:r>
          </w:p>
        </w:tc>
        <w:tc>
          <w:tcPr>
            <w:tcW w:w="706" w:type="pct"/>
            <w:tcBorders>
              <w:top w:val="single" w:color="auto" w:sz="4" w:space="0"/>
              <w:left w:val="nil"/>
              <w:bottom w:val="single" w:color="auto" w:sz="4" w:space="0"/>
              <w:right w:val="single" w:color="auto" w:sz="4" w:space="0"/>
            </w:tcBorders>
            <w:vAlign w:val="center"/>
          </w:tcPr>
          <w:p w14:paraId="0B188E8D">
            <w:pPr>
              <w:spacing w:line="360" w:lineRule="auto"/>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项目名称</w:t>
            </w:r>
          </w:p>
        </w:tc>
        <w:tc>
          <w:tcPr>
            <w:tcW w:w="2519" w:type="pct"/>
            <w:tcBorders>
              <w:top w:val="single" w:color="auto" w:sz="4" w:space="0"/>
              <w:left w:val="nil"/>
              <w:bottom w:val="single" w:color="auto" w:sz="4" w:space="0"/>
              <w:right w:val="single" w:color="auto" w:sz="4" w:space="0"/>
            </w:tcBorders>
            <w:vAlign w:val="center"/>
          </w:tcPr>
          <w:p w14:paraId="62554FC7">
            <w:pPr>
              <w:spacing w:line="360" w:lineRule="auto"/>
              <w:jc w:val="center"/>
              <w:rPr>
                <w:rFonts w:hint="eastAsia" w:asciiTheme="minorEastAsia" w:hAnsiTheme="minorEastAsia" w:eastAsiaTheme="minorEastAsia" w:cstheme="minorEastAsia"/>
                <w:b/>
                <w:bCs/>
                <w:color w:val="auto"/>
                <w:kern w:val="2"/>
                <w:highlight w:val="none"/>
                <w:lang w:eastAsia="zh-CN"/>
              </w:rPr>
            </w:pPr>
            <w:r>
              <w:rPr>
                <w:rFonts w:hint="eastAsia" w:ascii="宋体" w:hAnsi="宋体" w:cs="宋体"/>
                <w:b w:val="0"/>
                <w:bCs w:val="0"/>
                <w:color w:val="auto"/>
                <w:highlight w:val="none"/>
                <w:lang w:eastAsia="zh-CN"/>
              </w:rPr>
              <w:t>中山市中医院全自动化学发光分析仪项目</w:t>
            </w:r>
          </w:p>
        </w:tc>
      </w:tr>
      <w:tr w14:paraId="3E4F1A95">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35E798DB">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数量</w:t>
            </w:r>
          </w:p>
        </w:tc>
        <w:tc>
          <w:tcPr>
            <w:tcW w:w="4373" w:type="pct"/>
            <w:gridSpan w:val="3"/>
            <w:tcBorders>
              <w:top w:val="single" w:color="auto" w:sz="4" w:space="0"/>
              <w:left w:val="nil"/>
              <w:bottom w:val="single" w:color="auto" w:sz="4" w:space="0"/>
              <w:right w:val="single" w:color="auto" w:sz="4" w:space="0"/>
            </w:tcBorders>
            <w:vAlign w:val="center"/>
          </w:tcPr>
          <w:p w14:paraId="61C6EC42">
            <w:pPr>
              <w:spacing w:line="360" w:lineRule="auto"/>
              <w:jc w:val="center"/>
              <w:rPr>
                <w:rFonts w:hint="eastAsia" w:asciiTheme="minorEastAsia" w:hAnsiTheme="minorEastAsia" w:eastAsiaTheme="minorEastAsia" w:cstheme="minorEastAsia"/>
                <w:b w:val="0"/>
                <w:bCs w:val="0"/>
                <w:color w:val="auto"/>
                <w:kern w:val="2"/>
                <w:highlight w:val="none"/>
                <w:lang w:eastAsia="zh-CN"/>
              </w:rPr>
            </w:pPr>
          </w:p>
        </w:tc>
      </w:tr>
      <w:tr w14:paraId="14CB0697">
        <w:tblPrEx>
          <w:tblCellMar>
            <w:top w:w="0" w:type="dxa"/>
            <w:left w:w="108" w:type="dxa"/>
            <w:bottom w:w="0" w:type="dxa"/>
            <w:right w:w="108" w:type="dxa"/>
          </w:tblCellMar>
        </w:tblPrEx>
        <w:trPr>
          <w:trHeight w:val="810" w:hRule="atLeast"/>
          <w:jc w:val="center"/>
        </w:trPr>
        <w:tc>
          <w:tcPr>
            <w:tcW w:w="626" w:type="pct"/>
            <w:vMerge w:val="restart"/>
            <w:tcBorders>
              <w:top w:val="nil"/>
              <w:left w:val="single" w:color="auto" w:sz="4" w:space="0"/>
              <w:bottom w:val="single" w:color="auto" w:sz="4" w:space="0"/>
              <w:right w:val="single" w:color="auto" w:sz="4" w:space="0"/>
            </w:tcBorders>
            <w:vAlign w:val="center"/>
          </w:tcPr>
          <w:p w14:paraId="2857EC3F">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总报价</w:t>
            </w:r>
          </w:p>
        </w:tc>
        <w:tc>
          <w:tcPr>
            <w:tcW w:w="4373" w:type="pct"/>
            <w:gridSpan w:val="3"/>
            <w:tcBorders>
              <w:top w:val="single" w:color="auto" w:sz="4" w:space="0"/>
              <w:left w:val="nil"/>
              <w:bottom w:val="nil"/>
              <w:right w:val="single" w:color="auto" w:sz="4" w:space="0"/>
            </w:tcBorders>
            <w:vAlign w:val="center"/>
          </w:tcPr>
          <w:p w14:paraId="61E06985">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（大写金额）人民币元整</w:t>
            </w:r>
          </w:p>
        </w:tc>
      </w:tr>
      <w:tr w14:paraId="536F3D2C">
        <w:tblPrEx>
          <w:tblCellMar>
            <w:top w:w="0" w:type="dxa"/>
            <w:left w:w="108" w:type="dxa"/>
            <w:bottom w:w="0" w:type="dxa"/>
            <w:right w:w="108" w:type="dxa"/>
          </w:tblCellMar>
        </w:tblPrEx>
        <w:trPr>
          <w:trHeight w:val="929" w:hRule="atLeast"/>
          <w:jc w:val="center"/>
        </w:trPr>
        <w:tc>
          <w:tcPr>
            <w:tcW w:w="626" w:type="pct"/>
            <w:vMerge w:val="continue"/>
            <w:tcBorders>
              <w:top w:val="nil"/>
              <w:left w:val="single" w:color="auto" w:sz="4" w:space="0"/>
              <w:bottom w:val="single" w:color="auto" w:sz="4" w:space="0"/>
              <w:right w:val="single" w:color="auto" w:sz="4" w:space="0"/>
            </w:tcBorders>
            <w:vAlign w:val="center"/>
          </w:tcPr>
          <w:p w14:paraId="07A21099">
            <w:pPr>
              <w:spacing w:line="360" w:lineRule="auto"/>
              <w:rPr>
                <w:rFonts w:hint="eastAsia" w:asciiTheme="minorEastAsia" w:hAnsiTheme="minorEastAsia" w:eastAsiaTheme="minorEastAsia" w:cstheme="minorEastAsia"/>
                <w:b/>
                <w:bCs/>
                <w:color w:val="auto"/>
                <w:kern w:val="2"/>
                <w:highlight w:val="none"/>
              </w:rPr>
            </w:pPr>
          </w:p>
        </w:tc>
        <w:tc>
          <w:tcPr>
            <w:tcW w:w="4373" w:type="pct"/>
            <w:gridSpan w:val="3"/>
            <w:tcBorders>
              <w:top w:val="nil"/>
              <w:left w:val="nil"/>
              <w:bottom w:val="single" w:color="auto" w:sz="4" w:space="0"/>
              <w:right w:val="single" w:color="auto" w:sz="4" w:space="0"/>
            </w:tcBorders>
            <w:vAlign w:val="center"/>
          </w:tcPr>
          <w:p w14:paraId="5B7A0A84">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（小写金额）（￥元）</w:t>
            </w:r>
          </w:p>
        </w:tc>
      </w:tr>
      <w:tr w14:paraId="79E34974">
        <w:tblPrEx>
          <w:tblCellMar>
            <w:top w:w="0" w:type="dxa"/>
            <w:left w:w="108" w:type="dxa"/>
            <w:bottom w:w="0" w:type="dxa"/>
            <w:right w:w="108" w:type="dxa"/>
          </w:tblCellMar>
        </w:tblPrEx>
        <w:trPr>
          <w:trHeight w:val="58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8BEB523">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备注：详细内容见《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明细报价表》。</w:t>
            </w:r>
          </w:p>
        </w:tc>
      </w:tr>
    </w:tbl>
    <w:p w14:paraId="4E9A900E">
      <w:pP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人必须以人民币报价。</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文件中的大写金额和小写金额不一致的，以大写金额为准；总价金额与单价金额和数量乘积不一致的，以单价金额和数量乘积为准，但单价金额小数点有明显错误的除外；</w:t>
      </w:r>
      <w:r>
        <w:rPr>
          <w:rFonts w:hint="eastAsia" w:asciiTheme="minorEastAsia" w:hAnsiTheme="minorEastAsia" w:eastAsiaTheme="minorEastAsia" w:cstheme="minorEastAsia"/>
          <w:bCs/>
          <w:color w:val="auto"/>
          <w:highlight w:val="none"/>
          <w:lang w:eastAsia="zh-CN"/>
        </w:rPr>
        <w:t>采购包</w:t>
      </w:r>
      <w:r>
        <w:rPr>
          <w:rFonts w:hint="eastAsia" w:asciiTheme="minorEastAsia" w:hAnsiTheme="minorEastAsia" w:eastAsiaTheme="minorEastAsia" w:cstheme="minorEastAsia"/>
          <w:bCs/>
          <w:color w:val="auto"/>
          <w:highlight w:val="none"/>
        </w:rPr>
        <w:t>与采购标的不一致的，以采购标的为准；对不同文字文本</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文件的解释发生异议的，以中文文本为准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.总报价为</w:t>
      </w:r>
      <w:r>
        <w:rPr>
          <w:rFonts w:hint="eastAsia" w:asciiTheme="minorEastAsia" w:hAnsiTheme="minorEastAsia" w:eastAsiaTheme="minorEastAsia" w:cstheme="minorEastAsia"/>
          <w:bCs/>
          <w:color w:val="auto"/>
          <w:highlight w:val="none"/>
          <w:lang w:val="en-US" w:eastAsia="zh-CN"/>
        </w:rPr>
        <w:t>响应</w:t>
      </w:r>
      <w:r>
        <w:rPr>
          <w:rFonts w:hint="eastAsia" w:asciiTheme="minorEastAsia" w:hAnsiTheme="minorEastAsia" w:eastAsiaTheme="minorEastAsia" w:cstheme="minorEastAsia"/>
          <w:bCs/>
          <w:color w:val="auto"/>
          <w:highlight w:val="none"/>
        </w:rPr>
        <w:t>人最终报价，包含一切税费及相关费用。与详细报价表中的总报价一致；</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.上述日期均以日历日为单位，包括法定节假日；</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.只接受一个最有竞争力的报价，对含糊不清或不固定的报价将视为无效报价。</w:t>
      </w:r>
    </w:p>
    <w:p w14:paraId="23D1F797">
      <w:pPr>
        <w:spacing w:line="360" w:lineRule="auto"/>
        <w:rPr>
          <w:rFonts w:hint="eastAsia" w:asciiTheme="minorEastAsia" w:hAnsiTheme="minorEastAsia" w:eastAsiaTheme="minorEastAsia" w:cstheme="minorEastAsia"/>
          <w:color w:val="auto"/>
          <w:highlight w:val="none"/>
        </w:rPr>
      </w:pPr>
    </w:p>
    <w:p w14:paraId="1081EB83">
      <w:pPr>
        <w:spacing w:line="360" w:lineRule="auto"/>
        <w:rPr>
          <w:rFonts w:hint="eastAsia" w:asciiTheme="minorEastAsia" w:hAnsiTheme="minorEastAsia" w:eastAsiaTheme="minorEastAsia" w:cstheme="minorEastAsia"/>
          <w:color w:val="auto"/>
          <w:highlight w:val="none"/>
        </w:rPr>
      </w:pPr>
    </w:p>
    <w:p w14:paraId="17B9263C">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1921CF56">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人名称：（盖章）</w:t>
      </w:r>
    </w:p>
    <w:p w14:paraId="16DE0E14">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日期：年月日</w:t>
      </w:r>
    </w:p>
    <w:p w14:paraId="1F61AB21">
      <w:pPr>
        <w:pStyle w:val="3"/>
        <w:bidi w:val="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lang w:val="en-US" w:eastAsia="zh-CN"/>
        </w:rPr>
        <w:t>2报价明细表</w:t>
      </w:r>
    </w:p>
    <w:p w14:paraId="51F1E624">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tbl>
      <w:tblPr>
        <w:tblStyle w:val="20"/>
        <w:tblpPr w:leftFromText="180" w:rightFromText="180" w:vertAnchor="text" w:horzAnchor="page" w:tblpX="1480" w:tblpY="398"/>
        <w:tblOverlap w:val="never"/>
        <w:tblW w:w="9188" w:type="dxa"/>
        <w:tblInd w:w="0" w:type="dxa"/>
        <w:tblLayout w:type="fixed"/>
        <w:tblCellMar>
          <w:top w:w="15" w:type="dxa"/>
          <w:left w:w="15" w:type="dxa"/>
          <w:bottom w:w="15" w:type="dxa"/>
          <w:right w:w="15" w:type="dxa"/>
        </w:tblCellMar>
      </w:tblPr>
      <w:tblGrid>
        <w:gridCol w:w="392"/>
        <w:gridCol w:w="1297"/>
        <w:gridCol w:w="1023"/>
        <w:gridCol w:w="679"/>
        <w:gridCol w:w="1093"/>
        <w:gridCol w:w="1023"/>
        <w:gridCol w:w="1173"/>
        <w:gridCol w:w="709"/>
        <w:gridCol w:w="945"/>
        <w:gridCol w:w="854"/>
      </w:tblGrid>
      <w:tr w14:paraId="371B3961">
        <w:tblPrEx>
          <w:tblCellMar>
            <w:top w:w="15" w:type="dxa"/>
            <w:left w:w="15" w:type="dxa"/>
            <w:bottom w:w="15" w:type="dxa"/>
            <w:right w:w="15" w:type="dxa"/>
          </w:tblCellMar>
        </w:tblPrEx>
        <w:trPr>
          <w:trHeight w:val="316" w:hRule="atLeast"/>
        </w:trPr>
        <w:tc>
          <w:tcPr>
            <w:tcW w:w="9188" w:type="dxa"/>
            <w:gridSpan w:val="10"/>
            <w:tcBorders>
              <w:top w:val="single" w:color="000000" w:sz="4" w:space="0"/>
              <w:left w:val="single" w:color="000000" w:sz="4" w:space="0"/>
              <w:bottom w:val="single" w:color="000000" w:sz="4" w:space="0"/>
              <w:right w:val="single" w:color="000000" w:sz="4" w:space="0"/>
            </w:tcBorders>
            <w:vAlign w:val="center"/>
          </w:tcPr>
          <w:p w14:paraId="69370F20">
            <w:pPr>
              <w:jc w:val="both"/>
              <w:textAlignment w:val="center"/>
              <w:rPr>
                <w:rFonts w:hint="eastAsia" w:asciiTheme="minorEastAsia" w:hAnsiTheme="minorEastAsia" w:eastAsiaTheme="minorEastAsia" w:cstheme="minorEastAsia"/>
                <w:b/>
                <w:color w:val="auto"/>
                <w:kern w:val="2"/>
                <w:highlight w:val="none"/>
                <w:lang w:bidi="ar"/>
              </w:rPr>
            </w:pPr>
            <w:r>
              <w:rPr>
                <w:rFonts w:hint="eastAsia" w:asciiTheme="minorEastAsia" w:hAnsiTheme="minorEastAsia" w:eastAsiaTheme="minorEastAsia" w:cstheme="minorEastAsia"/>
                <w:b/>
                <w:color w:val="auto"/>
                <w:kern w:val="2"/>
                <w:highlight w:val="none"/>
                <w:lang w:bidi="ar"/>
              </w:rPr>
              <w:t>一、</w:t>
            </w:r>
            <w:r>
              <w:rPr>
                <w:rFonts w:hint="eastAsia" w:asciiTheme="minorEastAsia" w:hAnsiTheme="minorEastAsia" w:eastAsiaTheme="minorEastAsia" w:cstheme="minorEastAsia"/>
                <w:b/>
                <w:color w:val="auto"/>
                <w:kern w:val="2"/>
                <w:highlight w:val="none"/>
                <w:lang w:val="en-US" w:eastAsia="zh-CN" w:bidi="ar"/>
              </w:rPr>
              <w:t>设备租赁</w:t>
            </w:r>
            <w:r>
              <w:rPr>
                <w:rFonts w:hint="eastAsia" w:asciiTheme="minorEastAsia" w:hAnsiTheme="minorEastAsia" w:eastAsiaTheme="minorEastAsia" w:cstheme="minorEastAsia"/>
                <w:b/>
                <w:color w:val="auto"/>
                <w:kern w:val="2"/>
                <w:highlight w:val="none"/>
                <w:lang w:bidi="ar"/>
              </w:rPr>
              <w:t>明细</w:t>
            </w:r>
            <w:r>
              <w:rPr>
                <w:rFonts w:hint="eastAsia" w:asciiTheme="minorEastAsia" w:hAnsiTheme="minorEastAsia" w:eastAsiaTheme="minorEastAsia" w:cstheme="minorEastAsia"/>
                <w:b/>
                <w:color w:val="auto"/>
                <w:kern w:val="2"/>
                <w:highlight w:val="none"/>
                <w:lang w:val="en-US" w:eastAsia="zh-CN" w:bidi="ar"/>
              </w:rPr>
              <w:t>表</w:t>
            </w:r>
          </w:p>
        </w:tc>
      </w:tr>
      <w:tr w14:paraId="301C1B78">
        <w:tblPrEx>
          <w:tblCellMar>
            <w:top w:w="15" w:type="dxa"/>
            <w:left w:w="15" w:type="dxa"/>
            <w:bottom w:w="15" w:type="dxa"/>
            <w:right w:w="15" w:type="dxa"/>
          </w:tblCellMar>
        </w:tblPrEx>
        <w:trPr>
          <w:trHeight w:val="1140"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030E3722">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序号</w:t>
            </w:r>
          </w:p>
        </w:tc>
        <w:tc>
          <w:tcPr>
            <w:tcW w:w="1297" w:type="dxa"/>
            <w:tcBorders>
              <w:top w:val="single" w:color="000000" w:sz="4" w:space="0"/>
              <w:left w:val="single" w:color="000000" w:sz="4" w:space="0"/>
              <w:bottom w:val="single" w:color="000000" w:sz="4" w:space="0"/>
              <w:right w:val="single" w:color="000000" w:sz="4" w:space="0"/>
            </w:tcBorders>
            <w:vAlign w:val="center"/>
          </w:tcPr>
          <w:p w14:paraId="478FBD85">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分项名称</w:t>
            </w:r>
          </w:p>
        </w:tc>
        <w:tc>
          <w:tcPr>
            <w:tcW w:w="1023" w:type="dxa"/>
            <w:tcBorders>
              <w:top w:val="single" w:color="000000" w:sz="4" w:space="0"/>
              <w:left w:val="single" w:color="000000" w:sz="4" w:space="0"/>
              <w:bottom w:val="single" w:color="000000" w:sz="4" w:space="0"/>
              <w:right w:val="single" w:color="000000" w:sz="4" w:space="0"/>
            </w:tcBorders>
            <w:vAlign w:val="center"/>
          </w:tcPr>
          <w:p w14:paraId="5D848C7C">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单位</w:t>
            </w:r>
          </w:p>
        </w:tc>
        <w:tc>
          <w:tcPr>
            <w:tcW w:w="679" w:type="dxa"/>
            <w:tcBorders>
              <w:top w:val="single" w:color="000000" w:sz="4" w:space="0"/>
              <w:left w:val="single" w:color="000000" w:sz="4" w:space="0"/>
              <w:bottom w:val="single" w:color="000000" w:sz="4" w:space="0"/>
              <w:right w:val="single" w:color="000000" w:sz="4" w:space="0"/>
            </w:tcBorders>
            <w:vAlign w:val="center"/>
          </w:tcPr>
          <w:p w14:paraId="15CB237C">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w:t>
            </w:r>
          </w:p>
        </w:tc>
        <w:tc>
          <w:tcPr>
            <w:tcW w:w="1093" w:type="dxa"/>
            <w:tcBorders>
              <w:top w:val="single" w:color="000000" w:sz="4" w:space="0"/>
              <w:left w:val="single" w:color="000000" w:sz="4" w:space="0"/>
              <w:bottom w:val="single" w:color="000000" w:sz="4" w:space="0"/>
              <w:right w:val="single" w:color="000000" w:sz="4" w:space="0"/>
            </w:tcBorders>
            <w:vAlign w:val="center"/>
          </w:tcPr>
          <w:p w14:paraId="35A0E3A6">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bidi="ar"/>
              </w:rPr>
              <w:t>单价</w:t>
            </w:r>
            <w:r>
              <w:rPr>
                <w:rFonts w:hint="eastAsia" w:asciiTheme="minorEastAsia" w:hAnsiTheme="minorEastAsia" w:eastAsiaTheme="minorEastAsia" w:cstheme="minorEastAsia"/>
                <w:color w:val="auto"/>
                <w:kern w:val="2"/>
                <w:highlight w:val="none"/>
                <w:lang w:eastAsia="zh-CN" w:bidi="ar"/>
              </w:rPr>
              <w:t>（</w:t>
            </w:r>
            <w:r>
              <w:rPr>
                <w:rFonts w:hint="eastAsia" w:asciiTheme="minorEastAsia" w:hAnsiTheme="minorEastAsia" w:eastAsiaTheme="minorEastAsia" w:cstheme="minorEastAsia"/>
                <w:color w:val="auto"/>
                <w:kern w:val="2"/>
                <w:highlight w:val="none"/>
                <w:lang w:val="en-US" w:eastAsia="zh-CN" w:bidi="ar"/>
              </w:rPr>
              <w:t>元/年</w:t>
            </w:r>
            <w:r>
              <w:rPr>
                <w:rFonts w:hint="eastAsia" w:asciiTheme="minorEastAsia" w:hAnsiTheme="minorEastAsia" w:eastAsiaTheme="minorEastAsia" w:cstheme="minorEastAsia"/>
                <w:color w:val="auto"/>
                <w:kern w:val="2"/>
                <w:highlight w:val="none"/>
                <w:lang w:eastAsia="zh-CN" w:bidi="ar"/>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2D4C215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合计（元</w:t>
            </w:r>
            <w:r>
              <w:rPr>
                <w:rFonts w:hint="eastAsia" w:asciiTheme="minorEastAsia" w:hAnsiTheme="minorEastAsia" w:eastAsiaTheme="minorEastAsia" w:cstheme="minorEastAsia"/>
                <w:color w:val="auto"/>
                <w:kern w:val="2"/>
                <w:highlight w:val="none"/>
                <w:lang w:val="en-US" w:eastAsia="zh-CN" w:bidi="ar"/>
              </w:rPr>
              <w:t>/5年</w:t>
            </w:r>
            <w:r>
              <w:rPr>
                <w:rFonts w:hint="eastAsia" w:asciiTheme="minorEastAsia" w:hAnsiTheme="minorEastAsia" w:eastAsiaTheme="minorEastAsia" w:cstheme="minorEastAsia"/>
                <w:color w:val="auto"/>
                <w:kern w:val="2"/>
                <w:highlight w:val="none"/>
                <w:lang w:bidi="ar"/>
              </w:rPr>
              <w:t>）</w:t>
            </w:r>
          </w:p>
        </w:tc>
        <w:tc>
          <w:tcPr>
            <w:tcW w:w="3681" w:type="dxa"/>
            <w:gridSpan w:val="4"/>
            <w:tcBorders>
              <w:top w:val="single" w:color="000000" w:sz="4" w:space="0"/>
              <w:left w:val="single" w:color="000000" w:sz="4" w:space="0"/>
              <w:bottom w:val="single" w:color="000000" w:sz="4" w:space="0"/>
              <w:right w:val="single" w:color="000000" w:sz="4" w:space="0"/>
            </w:tcBorders>
            <w:vAlign w:val="center"/>
          </w:tcPr>
          <w:p w14:paraId="18070AE9">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备注</w:t>
            </w:r>
          </w:p>
        </w:tc>
      </w:tr>
      <w:tr w14:paraId="53231F3B">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03A95D8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1</w:t>
            </w:r>
          </w:p>
        </w:tc>
        <w:tc>
          <w:tcPr>
            <w:tcW w:w="1297" w:type="dxa"/>
            <w:tcBorders>
              <w:top w:val="single" w:color="000000" w:sz="4" w:space="0"/>
              <w:left w:val="single" w:color="000000" w:sz="4" w:space="0"/>
              <w:bottom w:val="single" w:color="000000" w:sz="4" w:space="0"/>
              <w:right w:val="single" w:color="000000" w:sz="4" w:space="0"/>
            </w:tcBorders>
            <w:vAlign w:val="center"/>
          </w:tcPr>
          <w:p w14:paraId="3FD56396">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全自动化学发光免疫分析仪</w:t>
            </w:r>
          </w:p>
        </w:tc>
        <w:tc>
          <w:tcPr>
            <w:tcW w:w="1023" w:type="dxa"/>
            <w:tcBorders>
              <w:top w:val="single" w:color="000000" w:sz="4" w:space="0"/>
              <w:left w:val="single" w:color="000000" w:sz="4" w:space="0"/>
              <w:bottom w:val="single" w:color="000000" w:sz="4" w:space="0"/>
              <w:right w:val="single" w:color="000000" w:sz="4" w:space="0"/>
            </w:tcBorders>
            <w:vAlign w:val="center"/>
          </w:tcPr>
          <w:p w14:paraId="275E40ED">
            <w:pPr>
              <w:jc w:val="center"/>
              <w:rPr>
                <w:rFonts w:hint="eastAsia"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台</w:t>
            </w:r>
          </w:p>
        </w:tc>
        <w:tc>
          <w:tcPr>
            <w:tcW w:w="679" w:type="dxa"/>
            <w:tcBorders>
              <w:top w:val="single" w:color="000000" w:sz="4" w:space="0"/>
              <w:left w:val="single" w:color="000000" w:sz="4" w:space="0"/>
              <w:bottom w:val="single" w:color="000000" w:sz="4" w:space="0"/>
              <w:right w:val="single" w:color="000000" w:sz="4" w:space="0"/>
            </w:tcBorders>
            <w:vAlign w:val="center"/>
          </w:tcPr>
          <w:p w14:paraId="59C08A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1</w:t>
            </w:r>
          </w:p>
        </w:tc>
        <w:tc>
          <w:tcPr>
            <w:tcW w:w="1093" w:type="dxa"/>
            <w:tcBorders>
              <w:top w:val="single" w:color="000000" w:sz="4" w:space="0"/>
              <w:left w:val="single" w:color="000000" w:sz="4" w:space="0"/>
              <w:bottom w:val="single" w:color="000000" w:sz="4" w:space="0"/>
              <w:right w:val="single" w:color="000000" w:sz="4" w:space="0"/>
            </w:tcBorders>
            <w:vAlign w:val="center"/>
          </w:tcPr>
          <w:p w14:paraId="76DF396B">
            <w:pPr>
              <w:jc w:val="both"/>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70B485C0">
            <w:pPr>
              <w:jc w:val="both"/>
              <w:rPr>
                <w:rFonts w:hint="eastAsia" w:asciiTheme="minorEastAsia" w:hAnsiTheme="minorEastAsia" w:eastAsiaTheme="minorEastAsia" w:cstheme="minorEastAsia"/>
                <w:color w:val="auto"/>
                <w:kern w:val="2"/>
                <w:highlight w:val="none"/>
              </w:rPr>
            </w:pPr>
          </w:p>
        </w:tc>
        <w:tc>
          <w:tcPr>
            <w:tcW w:w="3681" w:type="dxa"/>
            <w:gridSpan w:val="4"/>
            <w:tcBorders>
              <w:top w:val="single" w:color="000000" w:sz="4" w:space="0"/>
              <w:left w:val="single" w:color="000000" w:sz="4" w:space="0"/>
              <w:bottom w:val="single" w:color="000000" w:sz="4" w:space="0"/>
              <w:right w:val="single" w:color="000000" w:sz="4" w:space="0"/>
            </w:tcBorders>
            <w:vAlign w:val="center"/>
          </w:tcPr>
          <w:p w14:paraId="29491357">
            <w:pPr>
              <w:jc w:val="both"/>
              <w:rPr>
                <w:rFonts w:hint="eastAsia" w:asciiTheme="minorEastAsia" w:hAnsiTheme="minorEastAsia" w:eastAsiaTheme="minorEastAsia" w:cstheme="minorEastAsia"/>
                <w:color w:val="auto"/>
                <w:kern w:val="2"/>
                <w:highlight w:val="none"/>
              </w:rPr>
            </w:pPr>
          </w:p>
        </w:tc>
      </w:tr>
      <w:tr w14:paraId="43E9086C">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33780796">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2</w:t>
            </w:r>
          </w:p>
        </w:tc>
        <w:tc>
          <w:tcPr>
            <w:tcW w:w="1297" w:type="dxa"/>
            <w:tcBorders>
              <w:top w:val="single" w:color="000000" w:sz="4" w:space="0"/>
              <w:left w:val="single" w:color="000000" w:sz="4" w:space="0"/>
              <w:bottom w:val="single" w:color="000000" w:sz="4" w:space="0"/>
              <w:right w:val="single" w:color="000000" w:sz="4" w:space="0"/>
            </w:tcBorders>
            <w:vAlign w:val="center"/>
          </w:tcPr>
          <w:p w14:paraId="08A60FC7">
            <w:pPr>
              <w:jc w:val="center"/>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1E1AB8AA">
            <w:pPr>
              <w:jc w:val="center"/>
              <w:rPr>
                <w:rFonts w:hint="eastAsia" w:asciiTheme="minorEastAsia" w:hAnsiTheme="minorEastAsia" w:eastAsiaTheme="minorEastAsia" w:cstheme="minorEastAsia"/>
                <w:color w:val="auto"/>
                <w:kern w:val="2"/>
                <w:highlight w:val="none"/>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795C52E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433F5BC">
            <w:pPr>
              <w:jc w:val="both"/>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44376926">
            <w:pPr>
              <w:jc w:val="both"/>
              <w:rPr>
                <w:rFonts w:hint="eastAsia" w:asciiTheme="minorEastAsia" w:hAnsiTheme="minorEastAsia" w:eastAsiaTheme="minorEastAsia" w:cstheme="minorEastAsia"/>
                <w:color w:val="auto"/>
                <w:kern w:val="2"/>
                <w:highlight w:val="none"/>
              </w:rPr>
            </w:pPr>
          </w:p>
        </w:tc>
        <w:tc>
          <w:tcPr>
            <w:tcW w:w="3681" w:type="dxa"/>
            <w:gridSpan w:val="4"/>
            <w:tcBorders>
              <w:top w:val="single" w:color="000000" w:sz="4" w:space="0"/>
              <w:left w:val="single" w:color="000000" w:sz="4" w:space="0"/>
              <w:bottom w:val="single" w:color="000000" w:sz="4" w:space="0"/>
              <w:right w:val="single" w:color="000000" w:sz="4" w:space="0"/>
            </w:tcBorders>
            <w:vAlign w:val="center"/>
          </w:tcPr>
          <w:p w14:paraId="2068565E">
            <w:pPr>
              <w:jc w:val="both"/>
              <w:rPr>
                <w:rFonts w:hint="eastAsia" w:asciiTheme="minorEastAsia" w:hAnsiTheme="minorEastAsia" w:eastAsiaTheme="minorEastAsia" w:cstheme="minorEastAsia"/>
                <w:color w:val="auto"/>
                <w:kern w:val="2"/>
                <w:highlight w:val="none"/>
              </w:rPr>
            </w:pPr>
          </w:p>
        </w:tc>
      </w:tr>
      <w:tr w14:paraId="37B63804">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2EE77582">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3</w:t>
            </w:r>
          </w:p>
        </w:tc>
        <w:tc>
          <w:tcPr>
            <w:tcW w:w="1297" w:type="dxa"/>
            <w:tcBorders>
              <w:top w:val="single" w:color="000000" w:sz="4" w:space="0"/>
              <w:left w:val="single" w:color="000000" w:sz="4" w:space="0"/>
              <w:bottom w:val="single" w:color="000000" w:sz="4" w:space="0"/>
              <w:right w:val="single" w:color="000000" w:sz="4" w:space="0"/>
            </w:tcBorders>
            <w:vAlign w:val="center"/>
          </w:tcPr>
          <w:p w14:paraId="0D3277C4">
            <w:pPr>
              <w:jc w:val="center"/>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60E802D5">
            <w:pPr>
              <w:jc w:val="center"/>
              <w:rPr>
                <w:rFonts w:hint="eastAsia" w:asciiTheme="minorEastAsia" w:hAnsiTheme="minorEastAsia" w:eastAsiaTheme="minorEastAsia" w:cstheme="minorEastAsia"/>
                <w:color w:val="auto"/>
                <w:kern w:val="2"/>
                <w:highlight w:val="none"/>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18E429D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456900F1">
            <w:pPr>
              <w:jc w:val="both"/>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353C80F2">
            <w:pPr>
              <w:jc w:val="both"/>
              <w:rPr>
                <w:rFonts w:hint="eastAsia" w:asciiTheme="minorEastAsia" w:hAnsiTheme="minorEastAsia" w:eastAsiaTheme="minorEastAsia" w:cstheme="minorEastAsia"/>
                <w:color w:val="auto"/>
                <w:kern w:val="2"/>
                <w:highlight w:val="none"/>
              </w:rPr>
            </w:pPr>
          </w:p>
        </w:tc>
        <w:tc>
          <w:tcPr>
            <w:tcW w:w="3681" w:type="dxa"/>
            <w:gridSpan w:val="4"/>
            <w:tcBorders>
              <w:top w:val="single" w:color="000000" w:sz="4" w:space="0"/>
              <w:left w:val="single" w:color="000000" w:sz="4" w:space="0"/>
              <w:bottom w:val="single" w:color="000000" w:sz="4" w:space="0"/>
              <w:right w:val="single" w:color="000000" w:sz="4" w:space="0"/>
            </w:tcBorders>
            <w:vAlign w:val="center"/>
          </w:tcPr>
          <w:p w14:paraId="10FBA492">
            <w:pPr>
              <w:jc w:val="both"/>
              <w:rPr>
                <w:rFonts w:hint="eastAsia" w:asciiTheme="minorEastAsia" w:hAnsiTheme="minorEastAsia" w:eastAsiaTheme="minorEastAsia" w:cstheme="minorEastAsia"/>
                <w:color w:val="auto"/>
                <w:kern w:val="2"/>
                <w:highlight w:val="none"/>
              </w:rPr>
            </w:pPr>
          </w:p>
        </w:tc>
      </w:tr>
      <w:tr w14:paraId="64744852">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3A69D500">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vAlign w:val="center"/>
          </w:tcPr>
          <w:p w14:paraId="19DBC49F">
            <w:pPr>
              <w:jc w:val="center"/>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62BACD26">
            <w:pPr>
              <w:jc w:val="center"/>
              <w:rPr>
                <w:rFonts w:hint="eastAsia" w:asciiTheme="minorEastAsia" w:hAnsiTheme="minorEastAsia" w:eastAsiaTheme="minorEastAsia" w:cstheme="minorEastAsia"/>
                <w:color w:val="auto"/>
                <w:kern w:val="2"/>
                <w:highlight w:val="none"/>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3F21073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FD65513">
            <w:pPr>
              <w:jc w:val="both"/>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105430AF">
            <w:pPr>
              <w:jc w:val="both"/>
              <w:rPr>
                <w:rFonts w:hint="eastAsia" w:asciiTheme="minorEastAsia" w:hAnsiTheme="minorEastAsia" w:eastAsiaTheme="minorEastAsia" w:cstheme="minorEastAsia"/>
                <w:color w:val="auto"/>
                <w:kern w:val="2"/>
                <w:highlight w:val="none"/>
              </w:rPr>
            </w:pPr>
          </w:p>
        </w:tc>
        <w:tc>
          <w:tcPr>
            <w:tcW w:w="3681" w:type="dxa"/>
            <w:gridSpan w:val="4"/>
            <w:tcBorders>
              <w:top w:val="single" w:color="000000" w:sz="4" w:space="0"/>
              <w:left w:val="single" w:color="000000" w:sz="4" w:space="0"/>
              <w:bottom w:val="single" w:color="000000" w:sz="4" w:space="0"/>
              <w:right w:val="single" w:color="000000" w:sz="4" w:space="0"/>
            </w:tcBorders>
            <w:vAlign w:val="center"/>
          </w:tcPr>
          <w:p w14:paraId="3CD1EDC3">
            <w:pPr>
              <w:jc w:val="both"/>
              <w:rPr>
                <w:rFonts w:hint="eastAsia" w:asciiTheme="minorEastAsia" w:hAnsiTheme="minorEastAsia" w:eastAsiaTheme="minorEastAsia" w:cstheme="minorEastAsia"/>
                <w:color w:val="auto"/>
                <w:kern w:val="2"/>
                <w:highlight w:val="none"/>
              </w:rPr>
            </w:pPr>
          </w:p>
        </w:tc>
      </w:tr>
      <w:tr w14:paraId="60A30C5F">
        <w:tblPrEx>
          <w:tblCellMar>
            <w:top w:w="15" w:type="dxa"/>
            <w:left w:w="15" w:type="dxa"/>
            <w:bottom w:w="15" w:type="dxa"/>
            <w:right w:w="15" w:type="dxa"/>
          </w:tblCellMar>
        </w:tblPrEx>
        <w:trPr>
          <w:trHeight w:val="570" w:hRule="atLeast"/>
        </w:trPr>
        <w:tc>
          <w:tcPr>
            <w:tcW w:w="9188" w:type="dxa"/>
            <w:gridSpan w:val="10"/>
            <w:tcBorders>
              <w:top w:val="single" w:color="000000" w:sz="4" w:space="0"/>
              <w:left w:val="single" w:color="000000" w:sz="4" w:space="0"/>
              <w:bottom w:val="single" w:color="000000" w:sz="4" w:space="0"/>
              <w:right w:val="single" w:color="000000" w:sz="4" w:space="0"/>
            </w:tcBorders>
            <w:vAlign w:val="center"/>
          </w:tcPr>
          <w:p w14:paraId="0FF5086E">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bidi="ar"/>
              </w:rPr>
              <w:t>设备</w:t>
            </w:r>
            <w:r>
              <w:rPr>
                <w:rFonts w:hint="eastAsia" w:asciiTheme="minorEastAsia" w:hAnsiTheme="minorEastAsia" w:eastAsiaTheme="minorEastAsia" w:cstheme="minorEastAsia"/>
                <w:color w:val="auto"/>
                <w:kern w:val="2"/>
                <w:highlight w:val="none"/>
                <w:lang w:bidi="ar"/>
              </w:rPr>
              <w:t>报价合计：元</w:t>
            </w:r>
          </w:p>
        </w:tc>
      </w:tr>
      <w:tr w14:paraId="433403DC">
        <w:tblPrEx>
          <w:tblCellMar>
            <w:top w:w="15" w:type="dxa"/>
            <w:left w:w="15" w:type="dxa"/>
            <w:bottom w:w="15" w:type="dxa"/>
            <w:right w:w="15" w:type="dxa"/>
          </w:tblCellMar>
        </w:tblPrEx>
        <w:trPr>
          <w:trHeight w:val="316" w:hRule="atLeast"/>
        </w:trPr>
        <w:tc>
          <w:tcPr>
            <w:tcW w:w="8334" w:type="dxa"/>
            <w:gridSpan w:val="9"/>
            <w:tcBorders>
              <w:top w:val="single" w:color="000000" w:sz="4" w:space="0"/>
              <w:left w:val="single" w:color="000000" w:sz="4" w:space="0"/>
              <w:bottom w:val="single" w:color="000000" w:sz="4" w:space="0"/>
              <w:right w:val="single" w:color="000000" w:sz="4" w:space="0"/>
            </w:tcBorders>
            <w:vAlign w:val="center"/>
          </w:tcPr>
          <w:p w14:paraId="617A4CCD">
            <w:pPr>
              <w:jc w:val="both"/>
              <w:textAlignment w:val="center"/>
              <w:rPr>
                <w:rFonts w:hint="eastAsia" w:asciiTheme="minorEastAsia" w:hAnsiTheme="minorEastAsia" w:eastAsiaTheme="minorEastAsia" w:cstheme="minorEastAsia"/>
                <w:b/>
                <w:color w:val="auto"/>
                <w:kern w:val="2"/>
                <w:highlight w:val="none"/>
                <w:lang w:bidi="ar"/>
              </w:rPr>
            </w:pPr>
            <w:r>
              <w:rPr>
                <w:rFonts w:hint="eastAsia" w:asciiTheme="minorEastAsia" w:hAnsiTheme="minorEastAsia" w:eastAsiaTheme="minorEastAsia" w:cstheme="minorEastAsia"/>
                <w:b/>
                <w:color w:val="auto"/>
                <w:kern w:val="2"/>
                <w:highlight w:val="none"/>
                <w:lang w:bidi="ar"/>
              </w:rPr>
              <w:t>二、医用耗材明细表</w:t>
            </w:r>
          </w:p>
        </w:tc>
        <w:tc>
          <w:tcPr>
            <w:tcW w:w="854" w:type="dxa"/>
            <w:tcBorders>
              <w:top w:val="single" w:color="000000" w:sz="4" w:space="0"/>
              <w:left w:val="single" w:color="000000" w:sz="4" w:space="0"/>
              <w:bottom w:val="single" w:color="000000" w:sz="4" w:space="0"/>
              <w:right w:val="single" w:color="000000" w:sz="4" w:space="0"/>
            </w:tcBorders>
            <w:vAlign w:val="center"/>
          </w:tcPr>
          <w:p w14:paraId="1A5D6BE5">
            <w:pPr>
              <w:jc w:val="both"/>
              <w:textAlignment w:val="center"/>
              <w:rPr>
                <w:rFonts w:hint="eastAsia" w:asciiTheme="minorEastAsia" w:hAnsiTheme="minorEastAsia" w:eastAsiaTheme="minorEastAsia" w:cstheme="minorEastAsia"/>
                <w:b/>
                <w:color w:val="auto"/>
                <w:kern w:val="2"/>
                <w:highlight w:val="none"/>
                <w:lang w:bidi="ar"/>
              </w:rPr>
            </w:pPr>
          </w:p>
        </w:tc>
      </w:tr>
      <w:tr w14:paraId="63478905">
        <w:tblPrEx>
          <w:tblCellMar>
            <w:top w:w="15" w:type="dxa"/>
            <w:left w:w="15" w:type="dxa"/>
            <w:bottom w:w="15" w:type="dxa"/>
            <w:right w:w="15" w:type="dxa"/>
          </w:tblCellMar>
        </w:tblPrEx>
        <w:trPr>
          <w:trHeight w:val="570"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16B48629">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序号</w:t>
            </w:r>
          </w:p>
        </w:tc>
        <w:tc>
          <w:tcPr>
            <w:tcW w:w="1297" w:type="dxa"/>
            <w:tcBorders>
              <w:top w:val="single" w:color="000000" w:sz="4" w:space="0"/>
              <w:left w:val="single" w:color="000000" w:sz="4" w:space="0"/>
              <w:bottom w:val="single" w:color="000000" w:sz="4" w:space="0"/>
              <w:right w:val="single" w:color="000000" w:sz="4" w:space="0"/>
            </w:tcBorders>
            <w:vAlign w:val="center"/>
          </w:tcPr>
          <w:p w14:paraId="32A57F39">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产品名称</w:t>
            </w:r>
          </w:p>
        </w:tc>
        <w:tc>
          <w:tcPr>
            <w:tcW w:w="1023" w:type="dxa"/>
            <w:tcBorders>
              <w:top w:val="single" w:color="000000" w:sz="4" w:space="0"/>
              <w:left w:val="single" w:color="000000" w:sz="4" w:space="0"/>
              <w:bottom w:val="single" w:color="000000" w:sz="4" w:space="0"/>
              <w:right w:val="single" w:color="000000" w:sz="4" w:space="0"/>
            </w:tcBorders>
            <w:vAlign w:val="center"/>
          </w:tcPr>
          <w:p w14:paraId="2C8E8671">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规格型号</w:t>
            </w:r>
          </w:p>
        </w:tc>
        <w:tc>
          <w:tcPr>
            <w:tcW w:w="679" w:type="dxa"/>
            <w:tcBorders>
              <w:top w:val="single" w:color="000000" w:sz="4" w:space="0"/>
              <w:left w:val="single" w:color="000000" w:sz="4" w:space="0"/>
              <w:bottom w:val="single" w:color="000000" w:sz="4" w:space="0"/>
              <w:right w:val="single" w:color="000000" w:sz="4" w:space="0"/>
            </w:tcBorders>
            <w:vAlign w:val="center"/>
          </w:tcPr>
          <w:p w14:paraId="61FB95E9">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注册证号</w:t>
            </w:r>
          </w:p>
        </w:tc>
        <w:tc>
          <w:tcPr>
            <w:tcW w:w="1093" w:type="dxa"/>
            <w:tcBorders>
              <w:top w:val="single" w:color="000000" w:sz="4" w:space="0"/>
              <w:left w:val="single" w:color="000000" w:sz="4" w:space="0"/>
              <w:bottom w:val="single" w:color="000000" w:sz="4" w:space="0"/>
              <w:right w:val="single" w:color="000000" w:sz="4" w:space="0"/>
            </w:tcBorders>
            <w:vAlign w:val="center"/>
          </w:tcPr>
          <w:p w14:paraId="69838533">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生产企业</w:t>
            </w:r>
          </w:p>
        </w:tc>
        <w:tc>
          <w:tcPr>
            <w:tcW w:w="1023" w:type="dxa"/>
            <w:tcBorders>
              <w:top w:val="single" w:color="000000" w:sz="4" w:space="0"/>
              <w:left w:val="single" w:color="000000" w:sz="4" w:space="0"/>
              <w:bottom w:val="single" w:color="000000" w:sz="4" w:space="0"/>
              <w:right w:val="single" w:color="000000" w:sz="4" w:space="0"/>
            </w:tcBorders>
            <w:vAlign w:val="center"/>
          </w:tcPr>
          <w:p w14:paraId="556B978A">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包装单位</w:t>
            </w:r>
          </w:p>
        </w:tc>
        <w:tc>
          <w:tcPr>
            <w:tcW w:w="1173" w:type="dxa"/>
            <w:tcBorders>
              <w:top w:val="single" w:color="000000" w:sz="4" w:space="0"/>
              <w:left w:val="single" w:color="000000" w:sz="4" w:space="0"/>
              <w:bottom w:val="single" w:color="000000" w:sz="4" w:space="0"/>
              <w:right w:val="single" w:color="000000" w:sz="4" w:space="0"/>
            </w:tcBorders>
            <w:vAlign w:val="center"/>
          </w:tcPr>
          <w:p w14:paraId="064AF049">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单价（元）</w:t>
            </w:r>
          </w:p>
        </w:tc>
        <w:tc>
          <w:tcPr>
            <w:tcW w:w="709" w:type="dxa"/>
            <w:tcBorders>
              <w:top w:val="single" w:color="000000" w:sz="4" w:space="0"/>
              <w:left w:val="single" w:color="000000" w:sz="4" w:space="0"/>
              <w:bottom w:val="single" w:color="000000" w:sz="4" w:space="0"/>
              <w:right w:val="single" w:color="000000" w:sz="4" w:space="0"/>
            </w:tcBorders>
            <w:vAlign w:val="center"/>
          </w:tcPr>
          <w:p w14:paraId="13D144FC">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合计单价</w:t>
            </w:r>
          </w:p>
        </w:tc>
        <w:tc>
          <w:tcPr>
            <w:tcW w:w="945" w:type="dxa"/>
            <w:tcBorders>
              <w:top w:val="single" w:color="000000" w:sz="4" w:space="0"/>
              <w:left w:val="single" w:color="000000" w:sz="4" w:space="0"/>
              <w:bottom w:val="single" w:color="000000" w:sz="4" w:space="0"/>
              <w:right w:val="single" w:color="000000" w:sz="4" w:space="0"/>
            </w:tcBorders>
            <w:vAlign w:val="center"/>
          </w:tcPr>
          <w:p w14:paraId="3F70C476">
            <w:pPr>
              <w:jc w:val="center"/>
              <w:rPr>
                <w:rFonts w:hint="eastAsia" w:asciiTheme="minorEastAsia" w:hAnsiTheme="minorEastAsia" w:eastAsiaTheme="minorEastAsia" w:cstheme="minorEastAsia"/>
                <w:color w:val="auto"/>
                <w:kern w:val="2"/>
                <w:highlight w:val="none"/>
                <w:lang w:bidi="ar"/>
              </w:rPr>
            </w:pPr>
            <w:r>
              <w:rPr>
                <w:rFonts w:hint="eastAsia" w:ascii="宋体" w:hAnsi="宋体" w:cs="宋体"/>
                <w:color w:val="000000"/>
                <w:kern w:val="0"/>
                <w:sz w:val="22"/>
                <w:szCs w:val="22"/>
              </w:rPr>
              <w:t>国家医保编码</w:t>
            </w:r>
          </w:p>
        </w:tc>
        <w:tc>
          <w:tcPr>
            <w:tcW w:w="854" w:type="dxa"/>
            <w:tcBorders>
              <w:top w:val="single" w:color="000000" w:sz="4" w:space="0"/>
              <w:left w:val="single" w:color="000000" w:sz="4" w:space="0"/>
              <w:bottom w:val="single" w:color="000000" w:sz="4" w:space="0"/>
              <w:right w:val="single" w:color="000000" w:sz="4" w:space="0"/>
            </w:tcBorders>
            <w:vAlign w:val="center"/>
          </w:tcPr>
          <w:p w14:paraId="2BF37F99">
            <w:pPr>
              <w:jc w:val="center"/>
              <w:rPr>
                <w:rFonts w:hint="eastAsia" w:asciiTheme="minorEastAsia" w:hAnsiTheme="minorEastAsia" w:eastAsiaTheme="minorEastAsia" w:cstheme="minorEastAsia"/>
                <w:color w:val="auto"/>
                <w:kern w:val="2"/>
                <w:highlight w:val="none"/>
                <w:lang w:bidi="ar"/>
              </w:rPr>
            </w:pPr>
            <w:r>
              <w:rPr>
                <w:rFonts w:hint="eastAsia" w:ascii="宋体" w:hAnsi="宋体" w:cs="宋体"/>
                <w:color w:val="000000"/>
                <w:kern w:val="0"/>
                <w:sz w:val="22"/>
                <w:szCs w:val="22"/>
              </w:rPr>
              <w:t>省网药交ID</w:t>
            </w:r>
          </w:p>
        </w:tc>
      </w:tr>
      <w:tr w14:paraId="17B3B705">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553F4AC4">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vAlign w:val="center"/>
          </w:tcPr>
          <w:p w14:paraId="67E0F026">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检测试剂盒</w:t>
            </w:r>
          </w:p>
        </w:tc>
        <w:tc>
          <w:tcPr>
            <w:tcW w:w="1023" w:type="dxa"/>
            <w:tcBorders>
              <w:top w:val="single" w:color="000000" w:sz="4" w:space="0"/>
              <w:left w:val="single" w:color="000000" w:sz="4" w:space="0"/>
              <w:bottom w:val="single" w:color="000000" w:sz="4" w:space="0"/>
              <w:right w:val="single" w:color="000000" w:sz="4" w:space="0"/>
            </w:tcBorders>
            <w:vAlign w:val="center"/>
          </w:tcPr>
          <w:p w14:paraId="5987704D">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vAlign w:val="center"/>
          </w:tcPr>
          <w:p w14:paraId="2DFEB088">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vAlign w:val="center"/>
          </w:tcPr>
          <w:p w14:paraId="685119D1">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1F4E7267">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6F572412">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**元/人份</w:t>
            </w:r>
          </w:p>
        </w:tc>
        <w:tc>
          <w:tcPr>
            <w:tcW w:w="709" w:type="dxa"/>
            <w:vMerge w:val="restart"/>
            <w:tcBorders>
              <w:top w:val="single" w:color="000000" w:sz="4" w:space="0"/>
              <w:left w:val="single" w:color="000000" w:sz="4" w:space="0"/>
              <w:right w:val="single" w:color="000000" w:sz="4" w:space="0"/>
            </w:tcBorders>
            <w:vAlign w:val="center"/>
          </w:tcPr>
          <w:p w14:paraId="180136A2">
            <w:pPr>
              <w:ind w:firstLine="312" w:firstLineChars="0"/>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**元/人份</w:t>
            </w:r>
          </w:p>
        </w:tc>
        <w:tc>
          <w:tcPr>
            <w:tcW w:w="945" w:type="dxa"/>
            <w:tcBorders>
              <w:top w:val="single" w:color="000000" w:sz="4" w:space="0"/>
              <w:left w:val="single" w:color="000000" w:sz="4" w:space="0"/>
              <w:bottom w:val="single" w:color="000000" w:sz="4" w:space="0"/>
              <w:right w:val="single" w:color="000000" w:sz="4" w:space="0"/>
            </w:tcBorders>
            <w:vAlign w:val="center"/>
          </w:tcPr>
          <w:p w14:paraId="68881359">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0DD64949">
            <w:pPr>
              <w:jc w:val="both"/>
              <w:rPr>
                <w:rFonts w:hint="eastAsia" w:asciiTheme="minorEastAsia" w:hAnsiTheme="minorEastAsia" w:eastAsiaTheme="minorEastAsia" w:cstheme="minorEastAsia"/>
                <w:color w:val="auto"/>
                <w:kern w:val="2"/>
                <w:highlight w:val="none"/>
              </w:rPr>
            </w:pPr>
          </w:p>
        </w:tc>
      </w:tr>
      <w:tr w14:paraId="361C1C63">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1F6AFD76">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vAlign w:val="center"/>
          </w:tcPr>
          <w:p w14:paraId="6E9D4490">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清洗液</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0E17">
            <w:pPr>
              <w:jc w:val="both"/>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F4D7">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E064">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19C39CA4">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6C8C18E5">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709" w:type="dxa"/>
            <w:vMerge w:val="continue"/>
            <w:tcBorders>
              <w:left w:val="single" w:color="000000" w:sz="4" w:space="0"/>
              <w:right w:val="single" w:color="000000" w:sz="4" w:space="0"/>
            </w:tcBorders>
            <w:vAlign w:val="center"/>
          </w:tcPr>
          <w:p w14:paraId="6312F7D7">
            <w:pPr>
              <w:jc w:val="both"/>
              <w:rPr>
                <w:rFonts w:hint="eastAsia" w:asciiTheme="minorEastAsia" w:hAnsiTheme="minorEastAsia" w:eastAsiaTheme="minorEastAsia" w:cstheme="minorEastAsia"/>
                <w:color w:val="auto"/>
                <w:kern w:val="2"/>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DC25DBE">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43B9314F">
            <w:pPr>
              <w:jc w:val="both"/>
              <w:rPr>
                <w:rFonts w:hint="eastAsia" w:asciiTheme="minorEastAsia" w:hAnsiTheme="minorEastAsia" w:eastAsiaTheme="minorEastAsia" w:cstheme="minorEastAsia"/>
                <w:color w:val="auto"/>
                <w:kern w:val="2"/>
                <w:highlight w:val="none"/>
              </w:rPr>
            </w:pPr>
          </w:p>
        </w:tc>
      </w:tr>
      <w:tr w14:paraId="28B8892C">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3CE069E4">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vAlign w:val="center"/>
          </w:tcPr>
          <w:p w14:paraId="35DC157F">
            <w:pPr>
              <w:jc w:val="both"/>
              <w:rPr>
                <w:rFonts w:hint="eastAsia"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稀释液</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C1C9">
            <w:pPr>
              <w:jc w:val="both"/>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4F0F">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AB23">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203C9FE0">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3C3293FC">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709" w:type="dxa"/>
            <w:vMerge w:val="continue"/>
            <w:tcBorders>
              <w:left w:val="single" w:color="000000" w:sz="4" w:space="0"/>
              <w:right w:val="single" w:color="000000" w:sz="4" w:space="0"/>
            </w:tcBorders>
            <w:vAlign w:val="center"/>
          </w:tcPr>
          <w:p w14:paraId="6ADDFDF8">
            <w:pPr>
              <w:jc w:val="both"/>
              <w:rPr>
                <w:rFonts w:hint="eastAsia" w:asciiTheme="minorEastAsia" w:hAnsiTheme="minorEastAsia" w:eastAsiaTheme="minorEastAsia" w:cstheme="minorEastAsia"/>
                <w:color w:val="auto"/>
                <w:kern w:val="2"/>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0F90313">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5CCD88E3">
            <w:pPr>
              <w:jc w:val="both"/>
              <w:rPr>
                <w:rFonts w:hint="eastAsia" w:asciiTheme="minorEastAsia" w:hAnsiTheme="minorEastAsia" w:eastAsiaTheme="minorEastAsia" w:cstheme="minorEastAsia"/>
                <w:color w:val="auto"/>
                <w:kern w:val="2"/>
                <w:highlight w:val="none"/>
              </w:rPr>
            </w:pPr>
          </w:p>
        </w:tc>
      </w:tr>
      <w:tr w14:paraId="14D9DFA5">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6E4302F5">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vAlign w:val="center"/>
          </w:tcPr>
          <w:p w14:paraId="3A85F91C">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反应杯</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FAB8">
            <w:pPr>
              <w:jc w:val="both"/>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B21A">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E59">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1DD1F7A7">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24800096">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709" w:type="dxa"/>
            <w:vMerge w:val="continue"/>
            <w:tcBorders>
              <w:left w:val="single" w:color="000000" w:sz="4" w:space="0"/>
              <w:right w:val="single" w:color="000000" w:sz="4" w:space="0"/>
            </w:tcBorders>
            <w:vAlign w:val="center"/>
          </w:tcPr>
          <w:p w14:paraId="5AE85DB8">
            <w:pPr>
              <w:jc w:val="both"/>
              <w:rPr>
                <w:rFonts w:hint="eastAsia" w:asciiTheme="minorEastAsia" w:hAnsiTheme="minorEastAsia" w:eastAsiaTheme="minorEastAsia" w:cstheme="minorEastAsia"/>
                <w:color w:val="auto"/>
                <w:kern w:val="2"/>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851219A">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25537FC3">
            <w:pPr>
              <w:jc w:val="both"/>
              <w:rPr>
                <w:rFonts w:hint="eastAsia" w:asciiTheme="minorEastAsia" w:hAnsiTheme="minorEastAsia" w:eastAsiaTheme="minorEastAsia" w:cstheme="minorEastAsia"/>
                <w:color w:val="auto"/>
                <w:kern w:val="2"/>
                <w:highlight w:val="none"/>
              </w:rPr>
            </w:pPr>
          </w:p>
        </w:tc>
      </w:tr>
      <w:tr w14:paraId="629C8509">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3F74962F">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5</w:t>
            </w:r>
          </w:p>
        </w:tc>
        <w:tc>
          <w:tcPr>
            <w:tcW w:w="1297" w:type="dxa"/>
            <w:tcBorders>
              <w:top w:val="single" w:color="000000" w:sz="4" w:space="0"/>
              <w:left w:val="single" w:color="000000" w:sz="4" w:space="0"/>
              <w:bottom w:val="single" w:color="000000" w:sz="4" w:space="0"/>
              <w:right w:val="single" w:color="000000" w:sz="4" w:space="0"/>
            </w:tcBorders>
            <w:vAlign w:val="center"/>
          </w:tcPr>
          <w:p w14:paraId="4A35C630">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质控品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1C67">
            <w:pPr>
              <w:jc w:val="both"/>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26F8">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8A8A">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3DD8AB6F">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351AA9AF">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709" w:type="dxa"/>
            <w:vMerge w:val="continue"/>
            <w:tcBorders>
              <w:left w:val="single" w:color="000000" w:sz="4" w:space="0"/>
              <w:right w:val="single" w:color="000000" w:sz="4" w:space="0"/>
            </w:tcBorders>
            <w:vAlign w:val="center"/>
          </w:tcPr>
          <w:p w14:paraId="481A3518">
            <w:pPr>
              <w:jc w:val="both"/>
              <w:rPr>
                <w:rFonts w:hint="eastAsia" w:asciiTheme="minorEastAsia" w:hAnsiTheme="minorEastAsia" w:eastAsiaTheme="minorEastAsia" w:cstheme="minorEastAsia"/>
                <w:color w:val="auto"/>
                <w:kern w:val="2"/>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C4AA157">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4E60FE6B">
            <w:pPr>
              <w:jc w:val="both"/>
              <w:rPr>
                <w:rFonts w:hint="eastAsia" w:asciiTheme="minorEastAsia" w:hAnsiTheme="minorEastAsia" w:eastAsiaTheme="minorEastAsia" w:cstheme="minorEastAsia"/>
                <w:color w:val="auto"/>
                <w:kern w:val="2"/>
                <w:highlight w:val="none"/>
              </w:rPr>
            </w:pPr>
          </w:p>
        </w:tc>
      </w:tr>
      <w:tr w14:paraId="30D8F7A5">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0C6934B4">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6</w:t>
            </w:r>
          </w:p>
        </w:tc>
        <w:tc>
          <w:tcPr>
            <w:tcW w:w="1297" w:type="dxa"/>
            <w:tcBorders>
              <w:top w:val="single" w:color="000000" w:sz="4" w:space="0"/>
              <w:left w:val="single" w:color="000000" w:sz="4" w:space="0"/>
              <w:bottom w:val="single" w:color="000000" w:sz="4" w:space="0"/>
              <w:right w:val="single" w:color="000000" w:sz="4" w:space="0"/>
            </w:tcBorders>
            <w:vAlign w:val="center"/>
          </w:tcPr>
          <w:p w14:paraId="6ED42E22">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12D5DAE4">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vAlign w:val="center"/>
          </w:tcPr>
          <w:p w14:paraId="56E4535A">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vAlign w:val="center"/>
          </w:tcPr>
          <w:p w14:paraId="657637E4">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4E5BF19E">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75BD9DC1">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709" w:type="dxa"/>
            <w:vMerge w:val="continue"/>
            <w:tcBorders>
              <w:left w:val="single" w:color="000000" w:sz="4" w:space="0"/>
              <w:bottom w:val="single" w:color="000000" w:sz="4" w:space="0"/>
              <w:right w:val="single" w:color="000000" w:sz="4" w:space="0"/>
            </w:tcBorders>
            <w:vAlign w:val="center"/>
          </w:tcPr>
          <w:p w14:paraId="04FDAF6F">
            <w:pPr>
              <w:jc w:val="both"/>
              <w:rPr>
                <w:rFonts w:hint="eastAsia" w:asciiTheme="minorEastAsia" w:hAnsiTheme="minorEastAsia" w:eastAsiaTheme="minorEastAsia" w:cstheme="minorEastAsia"/>
                <w:color w:val="auto"/>
                <w:kern w:val="2"/>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2F93C03C">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3CE56DA5">
            <w:pPr>
              <w:jc w:val="both"/>
              <w:rPr>
                <w:rFonts w:hint="eastAsia" w:asciiTheme="minorEastAsia" w:hAnsiTheme="minorEastAsia" w:eastAsiaTheme="minorEastAsia" w:cstheme="minorEastAsia"/>
                <w:color w:val="auto"/>
                <w:kern w:val="2"/>
                <w:highlight w:val="none"/>
              </w:rPr>
            </w:pPr>
          </w:p>
        </w:tc>
      </w:tr>
      <w:tr w14:paraId="4A16B6A1">
        <w:tblPrEx>
          <w:tblCellMar>
            <w:top w:w="15" w:type="dxa"/>
            <w:left w:w="15" w:type="dxa"/>
            <w:bottom w:w="15" w:type="dxa"/>
            <w:right w:w="15" w:type="dxa"/>
          </w:tblCellMar>
        </w:tblPrEx>
        <w:trPr>
          <w:trHeight w:val="286" w:hRule="atLeast"/>
        </w:trPr>
        <w:tc>
          <w:tcPr>
            <w:tcW w:w="9188" w:type="dxa"/>
            <w:gridSpan w:val="10"/>
            <w:tcBorders>
              <w:top w:val="single" w:color="000000" w:sz="4" w:space="0"/>
              <w:left w:val="single" w:color="000000" w:sz="4" w:space="0"/>
              <w:bottom w:val="single" w:color="000000" w:sz="4" w:space="0"/>
              <w:right w:val="single" w:color="000000" w:sz="4" w:space="0"/>
            </w:tcBorders>
            <w:vAlign w:val="center"/>
          </w:tcPr>
          <w:p w14:paraId="2055078C">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bidi="ar"/>
              </w:rPr>
              <w:t>医用耗材</w:t>
            </w:r>
            <w:r>
              <w:rPr>
                <w:rFonts w:hint="eastAsia" w:asciiTheme="minorEastAsia" w:hAnsiTheme="minorEastAsia" w:eastAsiaTheme="minorEastAsia" w:cstheme="minorEastAsia"/>
                <w:color w:val="auto"/>
                <w:kern w:val="2"/>
                <w:highlight w:val="none"/>
                <w:lang w:bidi="ar"/>
              </w:rPr>
              <w:t>报价合计：元</w:t>
            </w:r>
          </w:p>
        </w:tc>
      </w:tr>
      <w:tr w14:paraId="019FB769">
        <w:tblPrEx>
          <w:tblCellMar>
            <w:top w:w="15" w:type="dxa"/>
            <w:left w:w="15" w:type="dxa"/>
            <w:bottom w:w="15" w:type="dxa"/>
            <w:right w:w="15" w:type="dxa"/>
          </w:tblCellMar>
        </w:tblPrEx>
        <w:trPr>
          <w:trHeight w:val="585" w:hRule="atLeast"/>
        </w:trPr>
        <w:tc>
          <w:tcPr>
            <w:tcW w:w="2712" w:type="dxa"/>
            <w:gridSpan w:val="3"/>
            <w:vMerge w:val="restart"/>
            <w:tcBorders>
              <w:top w:val="single" w:color="000000" w:sz="4" w:space="0"/>
              <w:left w:val="single" w:color="000000" w:sz="4" w:space="0"/>
              <w:right w:val="single" w:color="000000" w:sz="4" w:space="0"/>
            </w:tcBorders>
            <w:vAlign w:val="center"/>
          </w:tcPr>
          <w:p w14:paraId="68F42E53">
            <w:pPr>
              <w:jc w:val="center"/>
              <w:textAlignment w:val="center"/>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lang w:val="en-US" w:eastAsia="zh-CN"/>
              </w:rPr>
              <w:t>合计</w:t>
            </w:r>
            <w:r>
              <w:rPr>
                <w:rFonts w:hint="eastAsia" w:asciiTheme="minorEastAsia" w:hAnsiTheme="minorEastAsia" w:eastAsiaTheme="minorEastAsia" w:cstheme="minorEastAsia"/>
                <w:color w:val="auto"/>
                <w:kern w:val="2"/>
                <w:highlight w:val="none"/>
              </w:rPr>
              <w:t>总报价</w:t>
            </w:r>
          </w:p>
        </w:tc>
        <w:tc>
          <w:tcPr>
            <w:tcW w:w="6476" w:type="dxa"/>
            <w:gridSpan w:val="7"/>
            <w:tcBorders>
              <w:top w:val="single" w:color="000000" w:sz="4" w:space="0"/>
              <w:left w:val="single" w:color="000000" w:sz="4" w:space="0"/>
              <w:bottom w:val="single" w:color="000000" w:sz="4" w:space="0"/>
              <w:right w:val="single" w:color="000000" w:sz="4" w:space="0"/>
            </w:tcBorders>
            <w:vAlign w:val="center"/>
          </w:tcPr>
          <w:p w14:paraId="1FB577A9">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（大写金额）人民币元整</w:t>
            </w:r>
          </w:p>
        </w:tc>
      </w:tr>
      <w:tr w14:paraId="5797F992">
        <w:tblPrEx>
          <w:tblCellMar>
            <w:top w:w="15" w:type="dxa"/>
            <w:left w:w="15" w:type="dxa"/>
            <w:bottom w:w="15" w:type="dxa"/>
            <w:right w:w="15" w:type="dxa"/>
          </w:tblCellMar>
        </w:tblPrEx>
        <w:trPr>
          <w:trHeight w:val="585" w:hRule="atLeast"/>
        </w:trPr>
        <w:tc>
          <w:tcPr>
            <w:tcW w:w="2712" w:type="dxa"/>
            <w:gridSpan w:val="3"/>
            <w:vMerge w:val="continue"/>
            <w:tcBorders>
              <w:left w:val="single" w:color="000000" w:sz="4" w:space="0"/>
              <w:right w:val="single" w:color="000000" w:sz="4" w:space="0"/>
            </w:tcBorders>
            <w:vAlign w:val="center"/>
          </w:tcPr>
          <w:p w14:paraId="3B29F324">
            <w:pPr>
              <w:jc w:val="center"/>
              <w:textAlignment w:val="center"/>
              <w:rPr>
                <w:rFonts w:hint="eastAsia" w:asciiTheme="minorEastAsia" w:hAnsiTheme="minorEastAsia" w:eastAsiaTheme="minorEastAsia" w:cstheme="minorEastAsia"/>
                <w:color w:val="auto"/>
                <w:kern w:val="2"/>
                <w:highlight w:val="none"/>
                <w:lang w:bidi="ar"/>
              </w:rPr>
            </w:pPr>
          </w:p>
        </w:tc>
        <w:tc>
          <w:tcPr>
            <w:tcW w:w="6476" w:type="dxa"/>
            <w:gridSpan w:val="7"/>
            <w:tcBorders>
              <w:top w:val="single" w:color="000000" w:sz="4" w:space="0"/>
              <w:left w:val="single" w:color="000000" w:sz="4" w:space="0"/>
              <w:bottom w:val="single" w:color="000000" w:sz="4" w:space="0"/>
              <w:right w:val="single" w:color="000000" w:sz="4" w:space="0"/>
            </w:tcBorders>
            <w:vAlign w:val="center"/>
          </w:tcPr>
          <w:p w14:paraId="3EE11CCC">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（小写金额）（￥元）</w:t>
            </w:r>
          </w:p>
        </w:tc>
      </w:tr>
      <w:tr w14:paraId="7D3C8BBD">
        <w:tblPrEx>
          <w:tblCellMar>
            <w:top w:w="15" w:type="dxa"/>
            <w:left w:w="15" w:type="dxa"/>
            <w:bottom w:w="15" w:type="dxa"/>
            <w:right w:w="15" w:type="dxa"/>
          </w:tblCellMar>
        </w:tblPrEx>
        <w:trPr>
          <w:trHeight w:val="585" w:hRule="atLeast"/>
        </w:trPr>
        <w:tc>
          <w:tcPr>
            <w:tcW w:w="2712" w:type="dxa"/>
            <w:gridSpan w:val="3"/>
            <w:vMerge w:val="continue"/>
            <w:tcBorders>
              <w:left w:val="single" w:color="000000" w:sz="4" w:space="0"/>
              <w:bottom w:val="single" w:color="000000" w:sz="4" w:space="0"/>
              <w:right w:val="single" w:color="000000" w:sz="4" w:space="0"/>
            </w:tcBorders>
            <w:vAlign w:val="center"/>
          </w:tcPr>
          <w:p w14:paraId="74151BE0">
            <w:pPr>
              <w:jc w:val="center"/>
              <w:textAlignment w:val="center"/>
              <w:rPr>
                <w:rFonts w:hint="eastAsia" w:asciiTheme="minorEastAsia" w:hAnsiTheme="minorEastAsia" w:eastAsiaTheme="minorEastAsia" w:cstheme="minorEastAsia"/>
                <w:color w:val="auto"/>
                <w:kern w:val="2"/>
                <w:highlight w:val="none"/>
                <w:lang w:bidi="ar"/>
              </w:rPr>
            </w:pPr>
          </w:p>
        </w:tc>
        <w:tc>
          <w:tcPr>
            <w:tcW w:w="6476" w:type="dxa"/>
            <w:gridSpan w:val="7"/>
            <w:tcBorders>
              <w:top w:val="single" w:color="000000" w:sz="4" w:space="0"/>
              <w:left w:val="single" w:color="000000" w:sz="4" w:space="0"/>
              <w:bottom w:val="single" w:color="000000" w:sz="4" w:space="0"/>
              <w:right w:val="single" w:color="000000" w:sz="4" w:space="0"/>
            </w:tcBorders>
            <w:vAlign w:val="center"/>
          </w:tcPr>
          <w:p w14:paraId="06906FA4">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备注：总报价=5年租赁费用+15000人份*合计单价</w:t>
            </w:r>
          </w:p>
        </w:tc>
      </w:tr>
    </w:tbl>
    <w:p w14:paraId="76FAFE49">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中山市中医院全自动化学发光分析仪项目</w:t>
      </w:r>
    </w:p>
    <w:p w14:paraId="0A08448D">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rPr>
        <w:t>注：</w:t>
      </w:r>
      <w:r>
        <w:rPr>
          <w:rFonts w:hint="eastAsia" w:asciiTheme="minorEastAsia" w:hAnsiTheme="minorEastAsia" w:eastAsiaTheme="minorEastAsia" w:cstheme="minorEastAsia"/>
          <w:b/>
          <w:color w:val="auto"/>
          <w:highlight w:val="none"/>
          <w:lang w:val="en-GB"/>
        </w:rPr>
        <w:t>以上内容必须与技术方案中所介绍的内容、《报价一览表》一致。</w:t>
      </w:r>
    </w:p>
    <w:p w14:paraId="46346152">
      <w:pPr>
        <w:spacing w:line="360" w:lineRule="auto"/>
        <w:ind w:firstLine="480" w:firstLineChars="200"/>
        <w:jc w:val="lef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法定代表人（或授权代表）：（签字）</w:t>
      </w:r>
    </w:p>
    <w:p w14:paraId="7F3F2100">
      <w:pPr>
        <w:spacing w:line="360" w:lineRule="auto"/>
        <w:ind w:left="420" w:left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响应</w:t>
      </w:r>
      <w:r>
        <w:rPr>
          <w:rFonts w:hint="eastAsia" w:asciiTheme="minorEastAsia" w:hAnsiTheme="minorEastAsia" w:eastAsiaTheme="minorEastAsia" w:cstheme="minorEastAsia"/>
          <w:b/>
          <w:bCs/>
          <w:color w:val="auto"/>
          <w:sz w:val="24"/>
          <w:szCs w:val="24"/>
          <w:highlight w:val="none"/>
        </w:rPr>
        <w:t>人名称：（盖章）日期：</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年</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月</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日</w:t>
      </w:r>
    </w:p>
    <w:p w14:paraId="39B02347">
      <w:pPr>
        <w:rPr>
          <w:highlight w:val="none"/>
        </w:rPr>
      </w:pPr>
      <w:r>
        <w:rPr>
          <w:rFonts w:hint="eastAsia" w:asciiTheme="minorEastAsia" w:hAnsiTheme="minorEastAsia" w:eastAsiaTheme="minorEastAsia" w:cstheme="minorEastAsia"/>
          <w:color w:val="auto"/>
          <w:highlight w:val="none"/>
        </w:rPr>
        <w:br w:type="page"/>
      </w:r>
    </w:p>
    <w:p w14:paraId="537CA62D">
      <w:pPr>
        <w:pStyle w:val="35"/>
        <w:numPr>
          <w:ilvl w:val="0"/>
          <w:numId w:val="3"/>
        </w:numPr>
        <w:ind w:left="630" w:leftChars="0" w:firstLineChars="0"/>
        <w:outlineLvl w:val="1"/>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技术</w:t>
      </w:r>
      <w:r>
        <w:rPr>
          <w:rFonts w:hint="default" w:ascii="Times New Roman" w:hAnsi="Times New Roman" w:eastAsia="宋体" w:cs="Times New Roman"/>
          <w:b/>
          <w:bCs/>
          <w:highlight w:val="none"/>
          <w:lang w:val="en-US" w:eastAsia="zh-CN"/>
        </w:rPr>
        <w:t>需求响应表</w:t>
      </w:r>
    </w:p>
    <w:p w14:paraId="39E48C38">
      <w:pPr>
        <w:numPr>
          <w:ilvl w:val="0"/>
          <w:numId w:val="0"/>
        </w:numPr>
        <w:bidi w:val="0"/>
        <w:jc w:val="center"/>
        <w:rPr>
          <w:rFonts w:hint="eastAsia"/>
          <w:b/>
          <w:bCs/>
          <w:color w:val="auto"/>
          <w:highlight w:val="none"/>
        </w:rPr>
      </w:pPr>
      <w:bookmarkStart w:id="3" w:name="_Toc21096"/>
      <w:bookmarkStart w:id="4" w:name="_Toc17233"/>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bookmarkEnd w:id="3"/>
      <w:bookmarkEnd w:id="4"/>
      <w:r>
        <w:rPr>
          <w:rFonts w:hint="eastAsia"/>
          <w:b/>
          <w:bCs/>
          <w:color w:val="auto"/>
          <w:highlight w:val="none"/>
        </w:rPr>
        <w:t>重要技术参数“▲”响应情况表</w:t>
      </w:r>
    </w:p>
    <w:p w14:paraId="776B294A">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LX003</w:t>
      </w:r>
    </w:p>
    <w:p w14:paraId="72D220E5">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中山市中医院全自动化学发光分析仪项目</w:t>
      </w:r>
    </w:p>
    <w:p w14:paraId="727CBAD3">
      <w:pPr>
        <w:rPr>
          <w:rFonts w:hint="eastAsia"/>
          <w:color w:val="auto"/>
          <w:highlight w:val="none"/>
        </w:rPr>
      </w:pP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398"/>
        <w:gridCol w:w="2806"/>
        <w:gridCol w:w="1777"/>
        <w:gridCol w:w="1727"/>
      </w:tblGrid>
      <w:tr w14:paraId="44FD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shd w:val="clear" w:color="auto" w:fill="D9D9D9"/>
            <w:vAlign w:val="center"/>
          </w:tcPr>
          <w:p w14:paraId="511FE09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序号</w:t>
            </w:r>
          </w:p>
        </w:tc>
        <w:tc>
          <w:tcPr>
            <w:tcW w:w="1279" w:type="pct"/>
            <w:shd w:val="clear" w:color="auto" w:fill="D9D9D9"/>
            <w:vAlign w:val="center"/>
          </w:tcPr>
          <w:p w14:paraId="320AF39C">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文件条款描述</w:t>
            </w:r>
          </w:p>
        </w:tc>
        <w:tc>
          <w:tcPr>
            <w:tcW w:w="1497" w:type="pct"/>
            <w:shd w:val="clear" w:color="auto" w:fill="D9D9D9"/>
            <w:vAlign w:val="center"/>
          </w:tcPr>
          <w:p w14:paraId="7AA24473">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实际参数</w:t>
            </w:r>
          </w:p>
          <w:p w14:paraId="002ED256">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人应按</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货物（服务）实际数据填写)</w:t>
            </w:r>
          </w:p>
        </w:tc>
        <w:tc>
          <w:tcPr>
            <w:tcW w:w="948" w:type="pct"/>
            <w:shd w:val="clear" w:color="auto" w:fill="D9D9D9"/>
            <w:vAlign w:val="center"/>
          </w:tcPr>
          <w:p w14:paraId="2C5725E2">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是否偏离（无偏离/正偏离/负偏离）</w:t>
            </w:r>
          </w:p>
        </w:tc>
        <w:tc>
          <w:tcPr>
            <w:tcW w:w="921" w:type="pct"/>
            <w:shd w:val="clear" w:color="auto" w:fill="D9D9D9"/>
            <w:vAlign w:val="center"/>
          </w:tcPr>
          <w:p w14:paraId="47C589C4">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查阅/证明文</w:t>
            </w:r>
          </w:p>
          <w:p w14:paraId="6C9254D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件指引</w:t>
            </w:r>
          </w:p>
        </w:tc>
      </w:tr>
      <w:tr w14:paraId="0CBC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Pr>
          <w:p w14:paraId="2F682AE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p>
        </w:tc>
        <w:tc>
          <w:tcPr>
            <w:tcW w:w="1279" w:type="pct"/>
          </w:tcPr>
          <w:p w14:paraId="43A38EAC">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1</w:t>
            </w:r>
            <w:r>
              <w:rPr>
                <w:rFonts w:hint="eastAsia" w:ascii="宋体" w:hAnsi="宋体" w:cs="宋体"/>
                <w:bCs/>
                <w:sz w:val="24"/>
                <w:szCs w:val="24"/>
                <w:lang w:val="en-US" w:eastAsia="zh-CN"/>
              </w:rPr>
              <w:t>.</w:t>
            </w:r>
            <w:r>
              <w:rPr>
                <w:rFonts w:hint="eastAsia" w:ascii="宋体" w:hAnsi="宋体" w:eastAsia="宋体" w:cs="宋体"/>
                <w:bCs/>
                <w:sz w:val="24"/>
                <w:szCs w:val="24"/>
              </w:rPr>
              <w:t>▲设备采用化学发光法检测原理，定性、定量检测；支持夹心法、间接法、捕获法、竞争法等多种免疫分析方法；支持血清、血浆、尿液、唾液、痰液、脑脊液、肺泡灌洗液、拭子洗脱液等样本。</w:t>
            </w:r>
          </w:p>
        </w:tc>
        <w:tc>
          <w:tcPr>
            <w:tcW w:w="1497" w:type="pct"/>
          </w:tcPr>
          <w:p w14:paraId="595B362F">
            <w:pPr>
              <w:rPr>
                <w:rFonts w:hint="eastAsia" w:asciiTheme="minorEastAsia" w:hAnsiTheme="minorEastAsia" w:eastAsiaTheme="minorEastAsia" w:cstheme="minorEastAsia"/>
                <w:color w:val="auto"/>
                <w:kern w:val="2"/>
                <w:highlight w:val="none"/>
              </w:rPr>
            </w:pPr>
          </w:p>
        </w:tc>
        <w:tc>
          <w:tcPr>
            <w:tcW w:w="948" w:type="pct"/>
          </w:tcPr>
          <w:p w14:paraId="0829F728">
            <w:pPr>
              <w:rPr>
                <w:rFonts w:hint="eastAsia" w:asciiTheme="minorEastAsia" w:hAnsiTheme="minorEastAsia" w:eastAsiaTheme="minorEastAsia" w:cstheme="minorEastAsia"/>
                <w:color w:val="auto"/>
                <w:kern w:val="2"/>
                <w:highlight w:val="none"/>
              </w:rPr>
            </w:pPr>
          </w:p>
        </w:tc>
        <w:tc>
          <w:tcPr>
            <w:tcW w:w="921" w:type="pct"/>
          </w:tcPr>
          <w:p w14:paraId="0C6211B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0F76F9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第页</w:t>
            </w:r>
          </w:p>
        </w:tc>
      </w:tr>
      <w:tr w14:paraId="59BC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Pr>
          <w:p w14:paraId="5EC4DC4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2</w:t>
            </w:r>
          </w:p>
        </w:tc>
        <w:tc>
          <w:tcPr>
            <w:tcW w:w="1279" w:type="pct"/>
          </w:tcPr>
          <w:p w14:paraId="4050E27B">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3</w:t>
            </w:r>
            <w:r>
              <w:rPr>
                <w:rFonts w:hint="eastAsia" w:ascii="宋体" w:hAnsi="宋体" w:cs="宋体"/>
                <w:bCs/>
                <w:sz w:val="24"/>
                <w:szCs w:val="24"/>
                <w:lang w:val="en-US" w:eastAsia="zh-CN"/>
              </w:rPr>
              <w:t>.</w:t>
            </w:r>
            <w:r>
              <w:rPr>
                <w:rFonts w:hint="eastAsia" w:ascii="宋体" w:hAnsi="宋体" w:eastAsia="宋体" w:cs="宋体"/>
                <w:bCs/>
                <w:sz w:val="24"/>
                <w:szCs w:val="24"/>
              </w:rPr>
              <w:t>▲设备可根据后续检测需求拓展多个分析模块联机，可拓展分析模块≥2个。</w:t>
            </w:r>
          </w:p>
        </w:tc>
        <w:tc>
          <w:tcPr>
            <w:tcW w:w="1497" w:type="pct"/>
          </w:tcPr>
          <w:p w14:paraId="6252FB18">
            <w:pPr>
              <w:rPr>
                <w:rFonts w:hint="eastAsia" w:asciiTheme="minorEastAsia" w:hAnsiTheme="minorEastAsia" w:eastAsiaTheme="minorEastAsia" w:cstheme="minorEastAsia"/>
                <w:color w:val="auto"/>
                <w:kern w:val="2"/>
                <w:highlight w:val="none"/>
              </w:rPr>
            </w:pPr>
          </w:p>
        </w:tc>
        <w:tc>
          <w:tcPr>
            <w:tcW w:w="948" w:type="pct"/>
          </w:tcPr>
          <w:p w14:paraId="1288780C">
            <w:pPr>
              <w:rPr>
                <w:rFonts w:hint="eastAsia" w:asciiTheme="minorEastAsia" w:hAnsiTheme="minorEastAsia" w:eastAsiaTheme="minorEastAsia" w:cstheme="minorEastAsia"/>
                <w:color w:val="auto"/>
                <w:kern w:val="2"/>
                <w:highlight w:val="none"/>
              </w:rPr>
            </w:pPr>
          </w:p>
        </w:tc>
        <w:tc>
          <w:tcPr>
            <w:tcW w:w="921" w:type="pct"/>
          </w:tcPr>
          <w:p w14:paraId="3284513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008ADD2">
            <w:pPr>
              <w:pStyle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第页</w:t>
            </w:r>
          </w:p>
        </w:tc>
      </w:tr>
      <w:tr w14:paraId="144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Pr>
          <w:p w14:paraId="5DBE44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w:t>
            </w:r>
          </w:p>
        </w:tc>
        <w:tc>
          <w:tcPr>
            <w:tcW w:w="1279" w:type="pct"/>
          </w:tcPr>
          <w:p w14:paraId="47A931FB">
            <w:pPr>
              <w:rPr>
                <w:rFonts w:hint="eastAsia" w:asciiTheme="minorEastAsia" w:hAnsiTheme="minorEastAsia" w:eastAsiaTheme="minorEastAsia" w:cstheme="minorEastAsia"/>
                <w:color w:val="auto"/>
                <w:kern w:val="2"/>
                <w:highlight w:val="none"/>
              </w:rPr>
            </w:pPr>
          </w:p>
        </w:tc>
        <w:tc>
          <w:tcPr>
            <w:tcW w:w="1497" w:type="pct"/>
          </w:tcPr>
          <w:p w14:paraId="00E11519">
            <w:pPr>
              <w:rPr>
                <w:rFonts w:hint="eastAsia" w:asciiTheme="minorEastAsia" w:hAnsiTheme="minorEastAsia" w:eastAsiaTheme="minorEastAsia" w:cstheme="minorEastAsia"/>
                <w:color w:val="auto"/>
                <w:kern w:val="2"/>
                <w:highlight w:val="none"/>
              </w:rPr>
            </w:pPr>
          </w:p>
        </w:tc>
        <w:tc>
          <w:tcPr>
            <w:tcW w:w="948" w:type="pct"/>
          </w:tcPr>
          <w:p w14:paraId="5EB88F43">
            <w:pPr>
              <w:rPr>
                <w:rFonts w:hint="eastAsia" w:asciiTheme="minorEastAsia" w:hAnsiTheme="minorEastAsia" w:eastAsiaTheme="minorEastAsia" w:cstheme="minorEastAsia"/>
                <w:color w:val="auto"/>
                <w:kern w:val="2"/>
                <w:highlight w:val="none"/>
              </w:rPr>
            </w:pPr>
          </w:p>
        </w:tc>
        <w:tc>
          <w:tcPr>
            <w:tcW w:w="921" w:type="pct"/>
          </w:tcPr>
          <w:p w14:paraId="01D3D716">
            <w:pPr>
              <w:jc w:val="center"/>
              <w:rPr>
                <w:rFonts w:hint="eastAsia" w:asciiTheme="minorEastAsia" w:hAnsiTheme="minorEastAsia" w:eastAsiaTheme="minorEastAsia" w:cstheme="minorEastAsia"/>
                <w:color w:val="auto"/>
                <w:kern w:val="2"/>
                <w:highlight w:val="none"/>
              </w:rPr>
            </w:pPr>
          </w:p>
        </w:tc>
      </w:tr>
    </w:tbl>
    <w:p w14:paraId="4FD0E1B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遴选文件</w:t>
      </w:r>
      <w:r>
        <w:rPr>
          <w:rFonts w:hint="eastAsia" w:asciiTheme="minorEastAsia" w:hAnsiTheme="minorEastAsia" w:eastAsiaTheme="minorEastAsia" w:cstheme="minorEastAsia"/>
          <w:color w:val="auto"/>
          <w:highlight w:val="none"/>
        </w:rPr>
        <w:t>“用户需求书”中技术条款带“▲”号各条目号内容逐条响应。如有缺漏，缺漏项视同不符合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本表内容不得擅自修改。请在“偏离说明”栏内扼要说明偏离情况，如无偏离则不需列明。</w:t>
      </w:r>
    </w:p>
    <w:p w14:paraId="35157CEB">
      <w:pPr>
        <w:spacing w:line="360" w:lineRule="auto"/>
        <w:rPr>
          <w:rFonts w:hint="eastAsia" w:asciiTheme="minorEastAsia" w:hAnsiTheme="minorEastAsia" w:eastAsiaTheme="minorEastAsia" w:cstheme="minorEastAsia"/>
          <w:b/>
          <w:bCs/>
          <w:color w:val="auto"/>
          <w:highlight w:val="none"/>
        </w:rPr>
      </w:pPr>
    </w:p>
    <w:p w14:paraId="7EAE214E">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2B63E8D3">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人名称：（盖章）</w:t>
      </w:r>
    </w:p>
    <w:p w14:paraId="438361F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日期：年月日</w:t>
      </w:r>
    </w:p>
    <w:p w14:paraId="41A362B0">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lang w:val="en-US" w:eastAsia="zh-CN"/>
        </w:rPr>
        <w:t>二</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szCs w:val="24"/>
          <w:highlight w:val="none"/>
          <w:lang w:eastAsia="zh-CN"/>
        </w:rPr>
        <w:t>一般技术条款响应表</w:t>
      </w:r>
    </w:p>
    <w:p w14:paraId="46A93A71">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LX003</w:t>
      </w:r>
    </w:p>
    <w:p w14:paraId="2D226287">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中山市中医院全自动化学发光分析仪项目</w:t>
      </w:r>
    </w:p>
    <w:p w14:paraId="311B7D4F">
      <w:pPr>
        <w:bidi w:val="0"/>
        <w:rPr>
          <w:rFonts w:hint="eastAsia"/>
          <w:color w:val="auto"/>
          <w:highlight w:val="none"/>
        </w:rPr>
      </w:pPr>
    </w:p>
    <w:tbl>
      <w:tblPr>
        <w:tblStyle w:val="20"/>
        <w:tblW w:w="54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3011"/>
        <w:gridCol w:w="1639"/>
        <w:gridCol w:w="2102"/>
        <w:gridCol w:w="1276"/>
        <w:gridCol w:w="1667"/>
      </w:tblGrid>
      <w:tr w14:paraId="4C4E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A2C9E8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1464" w:type="pct"/>
            <w:vAlign w:val="center"/>
          </w:tcPr>
          <w:p w14:paraId="574DFE7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采购</w:t>
            </w:r>
            <w:r>
              <w:rPr>
                <w:rFonts w:hint="eastAsia" w:asciiTheme="minorEastAsia" w:hAnsiTheme="minorEastAsia" w:eastAsiaTheme="minorEastAsia" w:cstheme="minorEastAsia"/>
                <w:b/>
                <w:bCs/>
                <w:color w:val="auto"/>
                <w:kern w:val="2"/>
                <w:highlight w:val="none"/>
              </w:rPr>
              <w:t>技术参数要求</w:t>
            </w:r>
          </w:p>
        </w:tc>
        <w:tc>
          <w:tcPr>
            <w:tcW w:w="797" w:type="pct"/>
            <w:vAlign w:val="center"/>
          </w:tcPr>
          <w:p w14:paraId="6816AAA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响应</w:t>
            </w:r>
            <w:r>
              <w:rPr>
                <w:rFonts w:hint="eastAsia" w:asciiTheme="minorEastAsia" w:hAnsiTheme="minorEastAsia" w:eastAsiaTheme="minorEastAsia" w:cstheme="minorEastAsia"/>
                <w:b/>
                <w:bCs/>
                <w:color w:val="auto"/>
                <w:kern w:val="2"/>
                <w:highlight w:val="none"/>
              </w:rPr>
              <w:t>实际参数</w:t>
            </w:r>
          </w:p>
        </w:tc>
        <w:tc>
          <w:tcPr>
            <w:tcW w:w="1022" w:type="pct"/>
            <w:vAlign w:val="center"/>
          </w:tcPr>
          <w:p w14:paraId="21230C56">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是否偏离（无偏离/正偏离/负偏离）</w:t>
            </w:r>
          </w:p>
        </w:tc>
        <w:tc>
          <w:tcPr>
            <w:tcW w:w="620" w:type="pct"/>
            <w:vAlign w:val="center"/>
          </w:tcPr>
          <w:p w14:paraId="20B9F3C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偏离简述</w:t>
            </w:r>
          </w:p>
        </w:tc>
        <w:tc>
          <w:tcPr>
            <w:tcW w:w="810" w:type="pct"/>
            <w:vAlign w:val="center"/>
          </w:tcPr>
          <w:p w14:paraId="4CE352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color w:val="auto"/>
                <w:kern w:val="2"/>
                <w:highlight w:val="none"/>
              </w:rPr>
              <w:t>证明资料</w:t>
            </w:r>
          </w:p>
        </w:tc>
      </w:tr>
      <w:tr w14:paraId="6474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7DDFBC60">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1</w:t>
            </w:r>
          </w:p>
        </w:tc>
        <w:tc>
          <w:tcPr>
            <w:tcW w:w="1464" w:type="pct"/>
          </w:tcPr>
          <w:p w14:paraId="1DBCAE42">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2</w:t>
            </w:r>
            <w:r>
              <w:rPr>
                <w:rFonts w:hint="eastAsia" w:ascii="宋体" w:hAnsi="宋体" w:cs="宋体"/>
                <w:bCs/>
                <w:sz w:val="24"/>
                <w:szCs w:val="24"/>
                <w:lang w:val="en-US" w:eastAsia="zh-CN"/>
              </w:rPr>
              <w:t>.</w:t>
            </w:r>
            <w:r>
              <w:rPr>
                <w:rFonts w:hint="eastAsia" w:ascii="宋体" w:hAnsi="宋体" w:eastAsia="宋体" w:cs="宋体"/>
                <w:bCs/>
                <w:sz w:val="24"/>
                <w:szCs w:val="24"/>
              </w:rPr>
              <w:t>设备单机检测速度≥200测试/小时，具备急诊检测模式，急诊样本优先检测，结果出具时间≤15min。</w:t>
            </w:r>
          </w:p>
        </w:tc>
        <w:tc>
          <w:tcPr>
            <w:tcW w:w="797" w:type="pct"/>
          </w:tcPr>
          <w:p w14:paraId="590609E2">
            <w:pPr>
              <w:rPr>
                <w:rFonts w:hint="eastAsia" w:asciiTheme="minorEastAsia" w:hAnsiTheme="minorEastAsia" w:eastAsiaTheme="minorEastAsia" w:cstheme="minorEastAsia"/>
                <w:color w:val="auto"/>
                <w:kern w:val="2"/>
                <w:highlight w:val="none"/>
              </w:rPr>
            </w:pPr>
          </w:p>
        </w:tc>
        <w:tc>
          <w:tcPr>
            <w:tcW w:w="1022" w:type="pct"/>
          </w:tcPr>
          <w:p w14:paraId="5424986C">
            <w:pPr>
              <w:rPr>
                <w:rFonts w:hint="eastAsia" w:asciiTheme="minorEastAsia" w:hAnsiTheme="minorEastAsia" w:eastAsiaTheme="minorEastAsia" w:cstheme="minorEastAsia"/>
                <w:color w:val="auto"/>
                <w:kern w:val="2"/>
                <w:highlight w:val="none"/>
              </w:rPr>
            </w:pPr>
          </w:p>
        </w:tc>
        <w:tc>
          <w:tcPr>
            <w:tcW w:w="620" w:type="pct"/>
          </w:tcPr>
          <w:p w14:paraId="3A3778C9">
            <w:pPr>
              <w:rPr>
                <w:rFonts w:hint="eastAsia" w:asciiTheme="minorEastAsia" w:hAnsiTheme="minorEastAsia" w:eastAsiaTheme="minorEastAsia" w:cstheme="minorEastAsia"/>
                <w:color w:val="auto"/>
                <w:kern w:val="2"/>
                <w:highlight w:val="none"/>
              </w:rPr>
            </w:pPr>
          </w:p>
        </w:tc>
        <w:tc>
          <w:tcPr>
            <w:tcW w:w="810" w:type="pct"/>
            <w:vAlign w:val="center"/>
          </w:tcPr>
          <w:p w14:paraId="3BDCAC2D">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56A6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22BEEF9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2</w:t>
            </w:r>
          </w:p>
        </w:tc>
        <w:tc>
          <w:tcPr>
            <w:tcW w:w="1464" w:type="pct"/>
          </w:tcPr>
          <w:p w14:paraId="0B9B0F35">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4</w:t>
            </w:r>
            <w:r>
              <w:rPr>
                <w:rFonts w:hint="eastAsia" w:ascii="宋体" w:hAnsi="宋体" w:cs="宋体"/>
                <w:bCs/>
                <w:sz w:val="24"/>
                <w:szCs w:val="24"/>
                <w:lang w:val="en-US" w:eastAsia="zh-CN"/>
              </w:rPr>
              <w:t>.</w:t>
            </w:r>
            <w:r>
              <w:rPr>
                <w:rFonts w:hint="eastAsia" w:ascii="宋体" w:hAnsi="宋体" w:eastAsia="宋体" w:cs="宋体"/>
                <w:bCs/>
                <w:sz w:val="24"/>
                <w:szCs w:val="24"/>
              </w:rPr>
              <w:t>设备内置具备2–8℃冷藏功能的试剂仓，设备关机时试剂仓仍可保持冷藏功能，试剂位≥20个；每台设备检测反应位≥140个，可支持多项目同时检测。</w:t>
            </w:r>
          </w:p>
        </w:tc>
        <w:tc>
          <w:tcPr>
            <w:tcW w:w="797" w:type="pct"/>
          </w:tcPr>
          <w:p w14:paraId="495B352B">
            <w:pPr>
              <w:rPr>
                <w:rFonts w:hint="eastAsia" w:asciiTheme="minorEastAsia" w:hAnsiTheme="minorEastAsia" w:eastAsiaTheme="minorEastAsia" w:cstheme="minorEastAsia"/>
                <w:color w:val="auto"/>
                <w:kern w:val="2"/>
                <w:highlight w:val="none"/>
              </w:rPr>
            </w:pPr>
          </w:p>
        </w:tc>
        <w:tc>
          <w:tcPr>
            <w:tcW w:w="1022" w:type="pct"/>
          </w:tcPr>
          <w:p w14:paraId="06D02BAA">
            <w:pPr>
              <w:rPr>
                <w:rFonts w:hint="eastAsia" w:asciiTheme="minorEastAsia" w:hAnsiTheme="minorEastAsia" w:eastAsiaTheme="minorEastAsia" w:cstheme="minorEastAsia"/>
                <w:color w:val="auto"/>
                <w:kern w:val="2"/>
                <w:highlight w:val="none"/>
              </w:rPr>
            </w:pPr>
          </w:p>
        </w:tc>
        <w:tc>
          <w:tcPr>
            <w:tcW w:w="620" w:type="pct"/>
          </w:tcPr>
          <w:p w14:paraId="43F8DD59">
            <w:pPr>
              <w:rPr>
                <w:rFonts w:hint="eastAsia" w:asciiTheme="minorEastAsia" w:hAnsiTheme="minorEastAsia" w:eastAsiaTheme="minorEastAsia" w:cstheme="minorEastAsia"/>
                <w:color w:val="auto"/>
                <w:kern w:val="2"/>
                <w:highlight w:val="none"/>
              </w:rPr>
            </w:pPr>
          </w:p>
        </w:tc>
        <w:tc>
          <w:tcPr>
            <w:tcW w:w="810" w:type="pct"/>
            <w:vAlign w:val="center"/>
          </w:tcPr>
          <w:p w14:paraId="7F0BA1F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5FB0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C6D239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3</w:t>
            </w:r>
          </w:p>
        </w:tc>
        <w:tc>
          <w:tcPr>
            <w:tcW w:w="1464" w:type="pct"/>
          </w:tcPr>
          <w:p w14:paraId="1E0D948E">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5</w:t>
            </w:r>
            <w:r>
              <w:rPr>
                <w:rFonts w:hint="eastAsia" w:ascii="宋体" w:hAnsi="宋体" w:cs="宋体"/>
                <w:bCs/>
                <w:sz w:val="24"/>
                <w:szCs w:val="24"/>
                <w:lang w:val="en-US" w:eastAsia="zh-CN"/>
              </w:rPr>
              <w:t>.</w:t>
            </w:r>
            <w:r>
              <w:rPr>
                <w:rFonts w:hint="eastAsia" w:ascii="宋体" w:hAnsi="宋体" w:eastAsia="宋体" w:cs="宋体"/>
                <w:bCs/>
                <w:sz w:val="24"/>
                <w:szCs w:val="24"/>
              </w:rPr>
              <w:t>采用一次性反应杯及一次性吸头进行加样检测，减少样本携带污染和交叉污染风险。</w:t>
            </w:r>
          </w:p>
        </w:tc>
        <w:tc>
          <w:tcPr>
            <w:tcW w:w="797" w:type="pct"/>
          </w:tcPr>
          <w:p w14:paraId="36E0746C">
            <w:pPr>
              <w:rPr>
                <w:rFonts w:hint="eastAsia" w:asciiTheme="minorEastAsia" w:hAnsiTheme="minorEastAsia" w:eastAsiaTheme="minorEastAsia" w:cstheme="minorEastAsia"/>
                <w:color w:val="auto"/>
                <w:kern w:val="2"/>
                <w:highlight w:val="none"/>
              </w:rPr>
            </w:pPr>
          </w:p>
        </w:tc>
        <w:tc>
          <w:tcPr>
            <w:tcW w:w="1022" w:type="pct"/>
          </w:tcPr>
          <w:p w14:paraId="1AC6181D">
            <w:pPr>
              <w:rPr>
                <w:rFonts w:hint="eastAsia" w:asciiTheme="minorEastAsia" w:hAnsiTheme="minorEastAsia" w:eastAsiaTheme="minorEastAsia" w:cstheme="minorEastAsia"/>
                <w:color w:val="auto"/>
                <w:kern w:val="2"/>
                <w:highlight w:val="none"/>
              </w:rPr>
            </w:pPr>
          </w:p>
        </w:tc>
        <w:tc>
          <w:tcPr>
            <w:tcW w:w="620" w:type="pct"/>
          </w:tcPr>
          <w:p w14:paraId="3A7C9E67">
            <w:pPr>
              <w:rPr>
                <w:rFonts w:hint="eastAsia" w:asciiTheme="minorEastAsia" w:hAnsiTheme="minorEastAsia" w:eastAsiaTheme="minorEastAsia" w:cstheme="minorEastAsia"/>
                <w:color w:val="auto"/>
                <w:kern w:val="2"/>
                <w:highlight w:val="none"/>
              </w:rPr>
            </w:pPr>
          </w:p>
        </w:tc>
        <w:tc>
          <w:tcPr>
            <w:tcW w:w="810" w:type="pct"/>
            <w:vAlign w:val="center"/>
          </w:tcPr>
          <w:p w14:paraId="3E0724B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2D0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2FE501FA">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4</w:t>
            </w:r>
          </w:p>
        </w:tc>
        <w:tc>
          <w:tcPr>
            <w:tcW w:w="1464" w:type="pct"/>
          </w:tcPr>
          <w:p w14:paraId="77BA0C60">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6</w:t>
            </w:r>
            <w:r>
              <w:rPr>
                <w:rFonts w:hint="eastAsia" w:ascii="宋体" w:hAnsi="宋体" w:cs="宋体"/>
                <w:bCs/>
                <w:sz w:val="24"/>
                <w:szCs w:val="24"/>
                <w:lang w:val="en-US" w:eastAsia="zh-CN"/>
              </w:rPr>
              <w:t>.</w:t>
            </w:r>
            <w:r>
              <w:rPr>
                <w:rFonts w:hint="eastAsia" w:ascii="宋体" w:hAnsi="宋体" w:eastAsia="宋体" w:cs="宋体"/>
                <w:bCs/>
                <w:sz w:val="24"/>
                <w:szCs w:val="24"/>
              </w:rPr>
              <w:t>设备检测全过程支持自动加样、自动混匀、自动孵育、自动清洗、自动检测和结果输出等功能，自动化运行，无需人工干预；支持不停机添加试剂、吸头、反应杯、辅助试剂等；支持样本自动重检、样本自动稀释检测。</w:t>
            </w:r>
          </w:p>
        </w:tc>
        <w:tc>
          <w:tcPr>
            <w:tcW w:w="797" w:type="pct"/>
          </w:tcPr>
          <w:p w14:paraId="1FF3E74A">
            <w:pPr>
              <w:rPr>
                <w:rFonts w:hint="eastAsia" w:asciiTheme="minorEastAsia" w:hAnsiTheme="minorEastAsia" w:eastAsiaTheme="minorEastAsia" w:cstheme="minorEastAsia"/>
                <w:color w:val="auto"/>
                <w:kern w:val="2"/>
                <w:highlight w:val="none"/>
              </w:rPr>
            </w:pPr>
          </w:p>
        </w:tc>
        <w:tc>
          <w:tcPr>
            <w:tcW w:w="1022" w:type="pct"/>
          </w:tcPr>
          <w:p w14:paraId="7138CC76">
            <w:pPr>
              <w:rPr>
                <w:rFonts w:hint="eastAsia" w:asciiTheme="minorEastAsia" w:hAnsiTheme="minorEastAsia" w:eastAsiaTheme="minorEastAsia" w:cstheme="minorEastAsia"/>
                <w:color w:val="auto"/>
                <w:kern w:val="2"/>
                <w:highlight w:val="none"/>
              </w:rPr>
            </w:pPr>
          </w:p>
        </w:tc>
        <w:tc>
          <w:tcPr>
            <w:tcW w:w="620" w:type="pct"/>
          </w:tcPr>
          <w:p w14:paraId="48D0CE54">
            <w:pPr>
              <w:rPr>
                <w:rFonts w:hint="eastAsia" w:asciiTheme="minorEastAsia" w:hAnsiTheme="minorEastAsia" w:eastAsiaTheme="minorEastAsia" w:cstheme="minorEastAsia"/>
                <w:color w:val="auto"/>
                <w:kern w:val="2"/>
                <w:highlight w:val="none"/>
              </w:rPr>
            </w:pPr>
          </w:p>
        </w:tc>
        <w:tc>
          <w:tcPr>
            <w:tcW w:w="810" w:type="pct"/>
            <w:vAlign w:val="center"/>
          </w:tcPr>
          <w:p w14:paraId="3B11A14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1471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4312802F">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5</w:t>
            </w:r>
          </w:p>
        </w:tc>
        <w:tc>
          <w:tcPr>
            <w:tcW w:w="1464" w:type="pct"/>
          </w:tcPr>
          <w:p w14:paraId="0F5C60A7">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7</w:t>
            </w:r>
            <w:r>
              <w:rPr>
                <w:rFonts w:hint="eastAsia" w:ascii="宋体" w:hAnsi="宋体" w:cs="宋体"/>
                <w:bCs/>
                <w:sz w:val="24"/>
                <w:szCs w:val="24"/>
                <w:lang w:val="en-US" w:eastAsia="zh-CN"/>
              </w:rPr>
              <w:t>.</w:t>
            </w:r>
            <w:r>
              <w:rPr>
                <w:rFonts w:hint="eastAsia" w:ascii="宋体" w:hAnsi="宋体" w:eastAsia="宋体" w:cs="宋体"/>
                <w:bCs/>
                <w:sz w:val="24"/>
                <w:szCs w:val="24"/>
              </w:rPr>
              <w:t>设备加样系统具备液面探测、样本凝块与气泡、探测、防撞保护等功能。</w:t>
            </w:r>
          </w:p>
        </w:tc>
        <w:tc>
          <w:tcPr>
            <w:tcW w:w="797" w:type="pct"/>
          </w:tcPr>
          <w:p w14:paraId="1DAA1A46">
            <w:pPr>
              <w:jc w:val="left"/>
              <w:rPr>
                <w:rFonts w:hint="eastAsia" w:ascii="宋体" w:hAnsi="宋体" w:eastAsia="宋体" w:cs="宋体"/>
                <w:bCs/>
                <w:sz w:val="24"/>
                <w:szCs w:val="24"/>
              </w:rPr>
            </w:pPr>
          </w:p>
          <w:p w14:paraId="5CB0142B">
            <w:pPr>
              <w:rPr>
                <w:rFonts w:hint="eastAsia" w:asciiTheme="minorEastAsia" w:hAnsiTheme="minorEastAsia" w:eastAsiaTheme="minorEastAsia" w:cstheme="minorEastAsia"/>
                <w:color w:val="auto"/>
                <w:kern w:val="2"/>
                <w:highlight w:val="none"/>
              </w:rPr>
            </w:pPr>
          </w:p>
        </w:tc>
        <w:tc>
          <w:tcPr>
            <w:tcW w:w="1022" w:type="pct"/>
          </w:tcPr>
          <w:p w14:paraId="3FFFF234">
            <w:pPr>
              <w:rPr>
                <w:rFonts w:hint="eastAsia" w:asciiTheme="minorEastAsia" w:hAnsiTheme="minorEastAsia" w:eastAsiaTheme="minorEastAsia" w:cstheme="minorEastAsia"/>
                <w:color w:val="auto"/>
                <w:kern w:val="2"/>
                <w:highlight w:val="none"/>
              </w:rPr>
            </w:pPr>
          </w:p>
        </w:tc>
        <w:tc>
          <w:tcPr>
            <w:tcW w:w="620" w:type="pct"/>
          </w:tcPr>
          <w:p w14:paraId="6C880631">
            <w:pPr>
              <w:rPr>
                <w:rFonts w:hint="eastAsia" w:asciiTheme="minorEastAsia" w:hAnsiTheme="minorEastAsia" w:eastAsiaTheme="minorEastAsia" w:cstheme="minorEastAsia"/>
                <w:color w:val="auto"/>
                <w:kern w:val="2"/>
                <w:highlight w:val="none"/>
              </w:rPr>
            </w:pPr>
          </w:p>
        </w:tc>
        <w:tc>
          <w:tcPr>
            <w:tcW w:w="810" w:type="pct"/>
            <w:vAlign w:val="center"/>
          </w:tcPr>
          <w:p w14:paraId="3E3720C5">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3136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1206221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6</w:t>
            </w:r>
          </w:p>
        </w:tc>
        <w:tc>
          <w:tcPr>
            <w:tcW w:w="1464" w:type="pct"/>
          </w:tcPr>
          <w:p w14:paraId="28012DCE">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8</w:t>
            </w:r>
            <w:r>
              <w:rPr>
                <w:rFonts w:hint="eastAsia" w:ascii="宋体" w:hAnsi="宋体" w:cs="宋体"/>
                <w:bCs/>
                <w:sz w:val="24"/>
                <w:szCs w:val="24"/>
                <w:lang w:val="en-US" w:eastAsia="zh-CN"/>
              </w:rPr>
              <w:t>.</w:t>
            </w:r>
            <w:r>
              <w:rPr>
                <w:rFonts w:hint="eastAsia" w:ascii="宋体" w:hAnsi="宋体" w:eastAsia="宋体" w:cs="宋体"/>
                <w:bCs/>
                <w:sz w:val="24"/>
                <w:szCs w:val="24"/>
              </w:rPr>
              <w:t>样本加载支持原始采血管、样本杯等多种不同规格的样本容器；支持单个样本上机检测，也支持批量样本上机检测，批量上机样本数≥150个。</w:t>
            </w:r>
          </w:p>
        </w:tc>
        <w:tc>
          <w:tcPr>
            <w:tcW w:w="797" w:type="pct"/>
          </w:tcPr>
          <w:p w14:paraId="61258F2C">
            <w:pPr>
              <w:rPr>
                <w:rFonts w:hint="eastAsia" w:asciiTheme="minorEastAsia" w:hAnsiTheme="minorEastAsia" w:eastAsiaTheme="minorEastAsia" w:cstheme="minorEastAsia"/>
                <w:color w:val="auto"/>
                <w:kern w:val="2"/>
                <w:highlight w:val="none"/>
              </w:rPr>
            </w:pPr>
          </w:p>
        </w:tc>
        <w:tc>
          <w:tcPr>
            <w:tcW w:w="1022" w:type="pct"/>
          </w:tcPr>
          <w:p w14:paraId="78D825C9">
            <w:pPr>
              <w:rPr>
                <w:rFonts w:hint="eastAsia" w:asciiTheme="minorEastAsia" w:hAnsiTheme="minorEastAsia" w:eastAsiaTheme="minorEastAsia" w:cstheme="minorEastAsia"/>
                <w:color w:val="auto"/>
                <w:kern w:val="2"/>
                <w:highlight w:val="none"/>
              </w:rPr>
            </w:pPr>
          </w:p>
        </w:tc>
        <w:tc>
          <w:tcPr>
            <w:tcW w:w="620" w:type="pct"/>
          </w:tcPr>
          <w:p w14:paraId="4583E0C5">
            <w:pPr>
              <w:rPr>
                <w:rFonts w:hint="eastAsia" w:asciiTheme="minorEastAsia" w:hAnsiTheme="minorEastAsia" w:eastAsiaTheme="minorEastAsia" w:cstheme="minorEastAsia"/>
                <w:color w:val="auto"/>
                <w:kern w:val="2"/>
                <w:highlight w:val="none"/>
              </w:rPr>
            </w:pPr>
          </w:p>
        </w:tc>
        <w:tc>
          <w:tcPr>
            <w:tcW w:w="810" w:type="pct"/>
            <w:vAlign w:val="center"/>
          </w:tcPr>
          <w:p w14:paraId="2338C4F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5E8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4892625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7</w:t>
            </w:r>
          </w:p>
        </w:tc>
        <w:tc>
          <w:tcPr>
            <w:tcW w:w="1464" w:type="pct"/>
          </w:tcPr>
          <w:p w14:paraId="6CB1A67E">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9</w:t>
            </w:r>
            <w:r>
              <w:rPr>
                <w:rFonts w:hint="eastAsia" w:ascii="宋体" w:hAnsi="宋体" w:cs="宋体"/>
                <w:bCs/>
                <w:sz w:val="24"/>
                <w:szCs w:val="24"/>
                <w:lang w:val="en-US" w:eastAsia="zh-CN"/>
              </w:rPr>
              <w:t>.</w:t>
            </w:r>
            <w:r>
              <w:rPr>
                <w:rFonts w:hint="eastAsia" w:ascii="宋体" w:hAnsi="宋体" w:eastAsia="宋体" w:cs="宋体"/>
                <w:bCs/>
                <w:sz w:val="24"/>
                <w:szCs w:val="24"/>
              </w:rPr>
              <w:t>检测项目支持结核分枝杆菌特异性细胞免疫反应检测（IGRA），可拓展感染性疾病标志物等项目检测；检测项目需配套校准品、质控品，满足日常室内质量控制要求。</w:t>
            </w:r>
          </w:p>
        </w:tc>
        <w:tc>
          <w:tcPr>
            <w:tcW w:w="797" w:type="pct"/>
          </w:tcPr>
          <w:p w14:paraId="50DC9E37">
            <w:pPr>
              <w:rPr>
                <w:rFonts w:hint="eastAsia" w:asciiTheme="minorEastAsia" w:hAnsiTheme="minorEastAsia" w:eastAsiaTheme="minorEastAsia" w:cstheme="minorEastAsia"/>
                <w:color w:val="auto"/>
                <w:kern w:val="2"/>
                <w:highlight w:val="none"/>
              </w:rPr>
            </w:pPr>
          </w:p>
        </w:tc>
        <w:tc>
          <w:tcPr>
            <w:tcW w:w="1022" w:type="pct"/>
          </w:tcPr>
          <w:p w14:paraId="6DE4EA00">
            <w:pPr>
              <w:rPr>
                <w:rFonts w:hint="eastAsia" w:asciiTheme="minorEastAsia" w:hAnsiTheme="minorEastAsia" w:eastAsiaTheme="minorEastAsia" w:cstheme="minorEastAsia"/>
                <w:color w:val="auto"/>
                <w:kern w:val="2"/>
                <w:highlight w:val="none"/>
              </w:rPr>
            </w:pPr>
          </w:p>
        </w:tc>
        <w:tc>
          <w:tcPr>
            <w:tcW w:w="620" w:type="pct"/>
          </w:tcPr>
          <w:p w14:paraId="40CA14CD">
            <w:pPr>
              <w:rPr>
                <w:rFonts w:hint="eastAsia" w:asciiTheme="minorEastAsia" w:hAnsiTheme="minorEastAsia" w:eastAsiaTheme="minorEastAsia" w:cstheme="minorEastAsia"/>
                <w:color w:val="auto"/>
                <w:kern w:val="2"/>
                <w:highlight w:val="none"/>
              </w:rPr>
            </w:pPr>
          </w:p>
        </w:tc>
        <w:tc>
          <w:tcPr>
            <w:tcW w:w="810" w:type="pct"/>
            <w:vAlign w:val="center"/>
          </w:tcPr>
          <w:p w14:paraId="4543D84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22CC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15B1AB8">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8</w:t>
            </w:r>
          </w:p>
        </w:tc>
        <w:tc>
          <w:tcPr>
            <w:tcW w:w="1464" w:type="pct"/>
          </w:tcPr>
          <w:p w14:paraId="1DCB46E6">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10</w:t>
            </w:r>
            <w:r>
              <w:rPr>
                <w:rFonts w:hint="eastAsia" w:ascii="宋体" w:hAnsi="宋体" w:cs="宋体"/>
                <w:bCs/>
                <w:sz w:val="24"/>
                <w:szCs w:val="24"/>
                <w:lang w:val="en-US" w:eastAsia="zh-CN"/>
              </w:rPr>
              <w:t>.</w:t>
            </w:r>
            <w:r>
              <w:rPr>
                <w:rFonts w:hint="eastAsia" w:ascii="宋体" w:hAnsi="宋体" w:eastAsia="宋体" w:cs="宋体"/>
                <w:bCs/>
                <w:sz w:val="24"/>
                <w:szCs w:val="24"/>
              </w:rPr>
              <w:t>设备具备中文操作系统，支持样本试管扫描条码识别，支持与LIS双向通讯对接。</w:t>
            </w:r>
          </w:p>
        </w:tc>
        <w:tc>
          <w:tcPr>
            <w:tcW w:w="797" w:type="pct"/>
          </w:tcPr>
          <w:p w14:paraId="4C9CA89D">
            <w:pPr>
              <w:rPr>
                <w:rFonts w:hint="eastAsia" w:asciiTheme="minorEastAsia" w:hAnsiTheme="minorEastAsia" w:eastAsiaTheme="minorEastAsia" w:cstheme="minorEastAsia"/>
                <w:color w:val="auto"/>
                <w:kern w:val="2"/>
                <w:highlight w:val="none"/>
              </w:rPr>
            </w:pPr>
          </w:p>
        </w:tc>
        <w:tc>
          <w:tcPr>
            <w:tcW w:w="1022" w:type="pct"/>
          </w:tcPr>
          <w:p w14:paraId="6A418D29">
            <w:pPr>
              <w:rPr>
                <w:rFonts w:hint="eastAsia" w:asciiTheme="minorEastAsia" w:hAnsiTheme="minorEastAsia" w:eastAsiaTheme="minorEastAsia" w:cstheme="minorEastAsia"/>
                <w:color w:val="auto"/>
                <w:kern w:val="2"/>
                <w:highlight w:val="none"/>
              </w:rPr>
            </w:pPr>
          </w:p>
        </w:tc>
        <w:tc>
          <w:tcPr>
            <w:tcW w:w="620" w:type="pct"/>
          </w:tcPr>
          <w:p w14:paraId="058A3B00">
            <w:pPr>
              <w:rPr>
                <w:rFonts w:hint="eastAsia" w:asciiTheme="minorEastAsia" w:hAnsiTheme="minorEastAsia" w:eastAsiaTheme="minorEastAsia" w:cstheme="minorEastAsia"/>
                <w:color w:val="auto"/>
                <w:kern w:val="2"/>
                <w:highlight w:val="none"/>
              </w:rPr>
            </w:pPr>
          </w:p>
        </w:tc>
        <w:tc>
          <w:tcPr>
            <w:tcW w:w="810" w:type="pct"/>
            <w:vAlign w:val="center"/>
          </w:tcPr>
          <w:p w14:paraId="5192FAB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41FF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F77383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w:t>
            </w:r>
          </w:p>
        </w:tc>
        <w:tc>
          <w:tcPr>
            <w:tcW w:w="1464" w:type="pct"/>
          </w:tcPr>
          <w:p w14:paraId="2F2FA5B4">
            <w:pPr>
              <w:rPr>
                <w:rFonts w:hint="eastAsia" w:asciiTheme="minorEastAsia" w:hAnsiTheme="minorEastAsia" w:eastAsiaTheme="minorEastAsia" w:cstheme="minorEastAsia"/>
                <w:color w:val="auto"/>
                <w:kern w:val="2"/>
                <w:highlight w:val="none"/>
              </w:rPr>
            </w:pPr>
          </w:p>
        </w:tc>
        <w:tc>
          <w:tcPr>
            <w:tcW w:w="797" w:type="pct"/>
          </w:tcPr>
          <w:p w14:paraId="6507FD2B">
            <w:pPr>
              <w:rPr>
                <w:rFonts w:hint="eastAsia" w:asciiTheme="minorEastAsia" w:hAnsiTheme="minorEastAsia" w:eastAsiaTheme="minorEastAsia" w:cstheme="minorEastAsia"/>
                <w:color w:val="auto"/>
                <w:kern w:val="2"/>
                <w:highlight w:val="none"/>
              </w:rPr>
            </w:pPr>
          </w:p>
        </w:tc>
        <w:tc>
          <w:tcPr>
            <w:tcW w:w="1022" w:type="pct"/>
          </w:tcPr>
          <w:p w14:paraId="4865B00C">
            <w:pPr>
              <w:rPr>
                <w:rFonts w:hint="eastAsia" w:asciiTheme="minorEastAsia" w:hAnsiTheme="minorEastAsia" w:eastAsiaTheme="minorEastAsia" w:cstheme="minorEastAsia"/>
                <w:color w:val="auto"/>
                <w:kern w:val="2"/>
                <w:highlight w:val="none"/>
              </w:rPr>
            </w:pPr>
          </w:p>
        </w:tc>
        <w:tc>
          <w:tcPr>
            <w:tcW w:w="620" w:type="pct"/>
          </w:tcPr>
          <w:p w14:paraId="171E34B0">
            <w:pPr>
              <w:rPr>
                <w:rFonts w:hint="eastAsia" w:asciiTheme="minorEastAsia" w:hAnsiTheme="minorEastAsia" w:eastAsiaTheme="minorEastAsia" w:cstheme="minorEastAsia"/>
                <w:color w:val="auto"/>
                <w:kern w:val="2"/>
                <w:highlight w:val="none"/>
              </w:rPr>
            </w:pPr>
          </w:p>
        </w:tc>
        <w:tc>
          <w:tcPr>
            <w:tcW w:w="810" w:type="pct"/>
          </w:tcPr>
          <w:p w14:paraId="100C8394">
            <w:pPr>
              <w:rPr>
                <w:rFonts w:hint="eastAsia" w:asciiTheme="minorEastAsia" w:hAnsiTheme="minorEastAsia" w:eastAsiaTheme="minorEastAsia" w:cstheme="minorEastAsia"/>
                <w:color w:val="auto"/>
                <w:kern w:val="2"/>
                <w:highlight w:val="none"/>
              </w:rPr>
            </w:pPr>
          </w:p>
        </w:tc>
      </w:tr>
    </w:tbl>
    <w:p w14:paraId="5AD4EC1D">
      <w:pPr>
        <w:rPr>
          <w:rFonts w:hint="eastAsia" w:asciiTheme="minorEastAsia" w:hAnsiTheme="minorEastAsia" w:eastAsiaTheme="minorEastAsia" w:cstheme="minorEastAsia"/>
          <w:color w:val="auto"/>
          <w:highlight w:val="none"/>
        </w:rPr>
      </w:pPr>
    </w:p>
    <w:p w14:paraId="51159C8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遴选文件</w:t>
      </w:r>
      <w:r>
        <w:rPr>
          <w:rFonts w:hint="eastAsia" w:asciiTheme="minorEastAsia" w:hAnsiTheme="minorEastAsia" w:eastAsiaTheme="minorEastAsia" w:cstheme="minorEastAsia"/>
          <w:color w:val="auto"/>
          <w:highlight w:val="none"/>
        </w:rPr>
        <w:t>“用户需求书”中技术条款带“★”号及带“▲”号以外的各条目号内容逐条响应。如有缺漏，缺漏项视同不符合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本表内容不得擅自修改。请在“偏离说明”栏内扼要说明偏离情况，如无偏离则不需列明。</w:t>
      </w:r>
    </w:p>
    <w:p w14:paraId="275DF573">
      <w:pPr>
        <w:spacing w:line="360" w:lineRule="auto"/>
        <w:rPr>
          <w:rFonts w:hint="eastAsia" w:asciiTheme="minorEastAsia" w:hAnsiTheme="minorEastAsia" w:eastAsiaTheme="minorEastAsia" w:cstheme="minorEastAsia"/>
          <w:color w:val="auto"/>
          <w:highlight w:val="none"/>
        </w:rPr>
      </w:pPr>
    </w:p>
    <w:p w14:paraId="28EDBD52">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385DC99C">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人名称：（盖章）</w:t>
      </w:r>
    </w:p>
    <w:p w14:paraId="116AA415">
      <w:pPr>
        <w:tabs>
          <w:tab w:val="left" w:pos="1322"/>
        </w:tabs>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日期：年月日</w:t>
      </w:r>
    </w:p>
    <w:p w14:paraId="22FD941B">
      <w:pP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14:paraId="34DCB9DF">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详细技术方案等</w:t>
      </w:r>
    </w:p>
    <w:p w14:paraId="7A04E1A1">
      <w:pPr>
        <w:spacing w:line="360" w:lineRule="auto"/>
        <w:rPr>
          <w:rFonts w:hint="eastAsia" w:asciiTheme="minorEastAsia" w:hAnsiTheme="minorEastAsia" w:eastAsiaTheme="minorEastAsia" w:cstheme="minorEastAsia"/>
          <w:color w:val="auto"/>
          <w:highlight w:val="none"/>
          <w:lang w:val="en-GB" w:eastAsia="zh-CN"/>
        </w:rPr>
      </w:pPr>
      <w:r>
        <w:rPr>
          <w:rFonts w:hint="eastAsia" w:asciiTheme="minorEastAsia" w:hAnsiTheme="minorEastAsia" w:eastAsiaTheme="minorEastAsia" w:cstheme="minorEastAsia"/>
          <w:color w:val="auto"/>
          <w:highlight w:val="none"/>
          <w:lang w:val="en-GB"/>
        </w:rPr>
        <w:t>包括但不限于以下内容，主要根据</w:t>
      </w:r>
      <w:r>
        <w:rPr>
          <w:rFonts w:hint="eastAsia" w:asciiTheme="minorEastAsia" w:hAnsiTheme="minorEastAsia" w:eastAsiaTheme="minorEastAsia" w:cstheme="minorEastAsia"/>
          <w:color w:val="auto"/>
          <w:highlight w:val="none"/>
          <w:lang w:val="en-GB" w:eastAsia="zh-CN"/>
        </w:rPr>
        <w:t>采购</w:t>
      </w:r>
      <w:r>
        <w:rPr>
          <w:rFonts w:hint="eastAsia" w:asciiTheme="minorEastAsia" w:hAnsiTheme="minorEastAsia" w:eastAsiaTheme="minorEastAsia" w:cstheme="minorEastAsia"/>
          <w:color w:val="auto"/>
          <w:highlight w:val="none"/>
          <w:lang w:val="en-GB"/>
        </w:rPr>
        <w:t>需求的要求（格式自定）</w:t>
      </w:r>
    </w:p>
    <w:p w14:paraId="5E06E63F">
      <w:pPr>
        <w:numPr>
          <w:ilvl w:val="0"/>
          <w:numId w:val="0"/>
        </w:numPr>
        <w:spacing w:line="360" w:lineRule="auto"/>
        <w:rPr>
          <w:rFonts w:hint="eastAsia"/>
          <w:color w:val="auto"/>
          <w:spacing w:val="24"/>
          <w:highlight w:val="none"/>
          <w:lang w:val="en-US" w:eastAsia="zh-CN"/>
        </w:rPr>
      </w:pPr>
      <w:r>
        <w:rPr>
          <w:rFonts w:hint="eastAsia" w:asciiTheme="minorEastAsia" w:hAnsiTheme="minorEastAsia" w:eastAsiaTheme="minorEastAsia" w:cstheme="minorEastAsia"/>
          <w:color w:val="auto"/>
          <w:highlight w:val="none"/>
          <w:lang w:val="en-US" w:eastAsia="zh-CN"/>
        </w:rPr>
        <w:t>1、所投产品详细技术参数</w:t>
      </w:r>
      <w:r>
        <w:rPr>
          <w:rFonts w:hint="eastAsia"/>
          <w:color w:val="auto"/>
          <w:spacing w:val="24"/>
          <w:highlight w:val="none"/>
          <w:lang w:val="en-US" w:eastAsia="zh-CN"/>
        </w:rPr>
        <w:t>；</w:t>
      </w:r>
    </w:p>
    <w:p w14:paraId="6340CD58">
      <w:pPr>
        <w:numPr>
          <w:ilvl w:val="0"/>
          <w:numId w:val="0"/>
        </w:num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2、所投货物配置、选型及供货能力证明文件；</w:t>
      </w:r>
    </w:p>
    <w:p w14:paraId="1CC8D71F">
      <w:pPr>
        <w:spacing w:line="360" w:lineRule="auto"/>
        <w:rPr>
          <w:rFonts w:hint="eastAsia" w:eastAsia="宋体"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w:t>
      </w:r>
      <w:r>
        <w:rPr>
          <w:rFonts w:hint="eastAsia" w:ascii="宋体" w:hAnsi="宋体" w:eastAsia="宋体" w:cs="宋体"/>
          <w:b w:val="0"/>
          <w:bCs w:val="0"/>
          <w:color w:val="auto"/>
          <w:highlight w:val="none"/>
          <w:lang w:val="en-US"/>
        </w:rPr>
        <w:t>产品说明书相关页或技术白皮书相关页或产品彩页相关页等证明资料</w:t>
      </w:r>
      <w:r>
        <w:rPr>
          <w:rFonts w:hint="eastAsia" w:ascii="宋体" w:hAnsi="宋体" w:cs="宋体"/>
          <w:b w:val="0"/>
          <w:bCs w:val="0"/>
          <w:color w:val="auto"/>
          <w:highlight w:val="none"/>
          <w:lang w:val="en-US" w:eastAsia="zh-CN"/>
        </w:rPr>
        <w:t>；</w:t>
      </w:r>
    </w:p>
    <w:p w14:paraId="2292664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4、其他</w:t>
      </w:r>
      <w:r>
        <w:rPr>
          <w:rFonts w:hint="eastAsia" w:asciiTheme="minorEastAsia" w:hAnsiTheme="minorEastAsia" w:eastAsiaTheme="minorEastAsia" w:cstheme="minorEastAsia"/>
          <w:color w:val="auto"/>
          <w:highlight w:val="none"/>
        </w:rPr>
        <w:t>。</w:t>
      </w:r>
    </w:p>
    <w:p w14:paraId="2D99E5CD">
      <w:pPr>
        <w:spacing w:line="360" w:lineRule="auto"/>
        <w:rPr>
          <w:rFonts w:hint="eastAsia" w:asciiTheme="minorEastAsia" w:hAnsiTheme="minorEastAsia" w:eastAsiaTheme="minorEastAsia" w:cstheme="minorEastAsia"/>
          <w:color w:val="auto"/>
          <w:highlight w:val="none"/>
        </w:rPr>
      </w:pPr>
    </w:p>
    <w:p w14:paraId="4EC00E25">
      <w:pPr>
        <w:spacing w:line="360" w:lineRule="auto"/>
        <w:rPr>
          <w:rFonts w:hint="eastAsia" w:asciiTheme="minorEastAsia" w:hAnsiTheme="minorEastAsia" w:eastAsiaTheme="minorEastAsia" w:cstheme="minorEastAsia"/>
          <w:b/>
          <w:bCs/>
          <w:color w:val="auto"/>
          <w:highlight w:val="none"/>
        </w:rPr>
      </w:pPr>
    </w:p>
    <w:p w14:paraId="0F75EF77">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286CE7AF">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人名称：（盖章）</w:t>
      </w:r>
    </w:p>
    <w:p w14:paraId="3A7AEFA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日期：年月日</w:t>
      </w:r>
    </w:p>
    <w:p w14:paraId="0D2CA8FD">
      <w:pPr>
        <w:pStyle w:val="35"/>
        <w:numPr>
          <w:ilvl w:val="0"/>
          <w:numId w:val="0"/>
        </w:numPr>
        <w:tabs>
          <w:tab w:val="left" w:pos="-220"/>
        </w:tabs>
        <w:jc w:val="left"/>
        <w:rPr>
          <w:rFonts w:hint="eastAsia" w:ascii="Times New Roman" w:hAnsi="Times New Roman" w:eastAsia="宋体" w:cs="Times New Roman"/>
          <w:b/>
          <w:bCs/>
          <w:highlight w:val="none"/>
          <w:lang w:val="en-US" w:eastAsia="zh-CN"/>
        </w:rPr>
      </w:pPr>
      <w:r>
        <w:rPr>
          <w:rFonts w:hint="eastAsia" w:asciiTheme="minorEastAsia" w:hAnsiTheme="minorEastAsia" w:eastAsiaTheme="minorEastAsia" w:cstheme="minorEastAsia"/>
          <w:b/>
          <w:color w:val="auto"/>
          <w:highlight w:val="none"/>
        </w:rPr>
        <w:br w:type="page"/>
      </w:r>
    </w:p>
    <w:p w14:paraId="1653C10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格式五：</w:t>
      </w:r>
      <w:r>
        <w:rPr>
          <w:rFonts w:hint="eastAsia" w:ascii="Times New Roman" w:hAnsi="Times New Roman" w:eastAsia="宋体" w:cs="Times New Roman"/>
          <w:b/>
          <w:bCs/>
          <w:highlight w:val="none"/>
        </w:rPr>
        <w:t>商务条款响应表</w:t>
      </w:r>
    </w:p>
    <w:p w14:paraId="3593036C">
      <w:pPr>
        <w:numPr>
          <w:ilvl w:val="0"/>
          <w:numId w:val="0"/>
        </w:numPr>
        <w:bidi w:val="0"/>
        <w:jc w:val="center"/>
        <w:rPr>
          <w:rFonts w:hint="eastAsia"/>
          <w:b/>
          <w:bCs/>
          <w:color w:val="auto"/>
          <w:highlight w:val="none"/>
        </w:rPr>
      </w:pPr>
      <w:r>
        <w:rPr>
          <w:rFonts w:hint="eastAsia"/>
          <w:b/>
          <w:bCs/>
          <w:color w:val="auto"/>
          <w:highlight w:val="none"/>
        </w:rPr>
        <w:t>商务条款响应表</w:t>
      </w:r>
    </w:p>
    <w:p w14:paraId="2A64B956">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LX003</w:t>
      </w:r>
    </w:p>
    <w:p w14:paraId="621C1236">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中山市中医院全自动化学发光分析仪项目</w:t>
      </w:r>
    </w:p>
    <w:p w14:paraId="6BFA4080">
      <w:pPr>
        <w:numPr>
          <w:ilvl w:val="0"/>
          <w:numId w:val="0"/>
        </w:numPr>
        <w:rPr>
          <w:rFonts w:hint="eastAsia"/>
          <w:color w:val="auto"/>
          <w:highlight w:val="none"/>
        </w:rPr>
      </w:pPr>
    </w:p>
    <w:tbl>
      <w:tblPr>
        <w:tblStyle w:val="20"/>
        <w:tblW w:w="5619" w:type="pct"/>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8024"/>
        <w:gridCol w:w="791"/>
        <w:gridCol w:w="858"/>
      </w:tblGrid>
      <w:tr w14:paraId="28A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09" w:type="pct"/>
            <w:vAlign w:val="center"/>
          </w:tcPr>
          <w:p w14:paraId="30794D74">
            <w:pPr>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序号</w:t>
            </w:r>
          </w:p>
        </w:tc>
        <w:tc>
          <w:tcPr>
            <w:tcW w:w="3808" w:type="pct"/>
            <w:vAlign w:val="center"/>
          </w:tcPr>
          <w:p w14:paraId="0FBB8D08">
            <w:pPr>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color w:val="auto"/>
                <w:kern w:val="2"/>
                <w:sz w:val="22"/>
                <w:szCs w:val="22"/>
                <w:highlight w:val="none"/>
              </w:rPr>
              <w:t>用户需求商务条款要求</w:t>
            </w:r>
          </w:p>
        </w:tc>
        <w:tc>
          <w:tcPr>
            <w:tcW w:w="375" w:type="pct"/>
            <w:vAlign w:val="center"/>
          </w:tcPr>
          <w:p w14:paraId="383986EA">
            <w:pPr>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是否响应</w:t>
            </w:r>
          </w:p>
        </w:tc>
        <w:tc>
          <w:tcPr>
            <w:tcW w:w="407" w:type="pct"/>
            <w:vAlign w:val="center"/>
          </w:tcPr>
          <w:p w14:paraId="22E1AA48">
            <w:pPr>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偏离说明</w:t>
            </w:r>
          </w:p>
        </w:tc>
      </w:tr>
      <w:tr w14:paraId="616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09" w:type="pct"/>
            <w:vAlign w:val="center"/>
          </w:tcPr>
          <w:p w14:paraId="27CE6075">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5DFFCACB">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1.标的提供的时间：</w:t>
            </w:r>
          </w:p>
          <w:p w14:paraId="38F8AF97">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1.1与医院签订设备租赁合同及耗材采购合同后，供应商须再10个工作日内向中山市中医院提供耗材，设备及并组织安装、安装等。</w:t>
            </w:r>
          </w:p>
        </w:tc>
        <w:tc>
          <w:tcPr>
            <w:tcW w:w="375" w:type="pct"/>
            <w:vAlign w:val="center"/>
          </w:tcPr>
          <w:p w14:paraId="501EC0EE">
            <w:pPr>
              <w:pStyle w:val="34"/>
              <w:keepNext w:val="0"/>
              <w:adjustRightInd/>
              <w:spacing w:before="0" w:after="0" w:line="360" w:lineRule="auto"/>
              <w:textAlignment w:val="auto"/>
              <w:rPr>
                <w:rFonts w:hint="eastAsia" w:ascii="宋体" w:hAnsi="宋体" w:eastAsia="宋体" w:cs="宋体"/>
                <w:color w:val="auto"/>
                <w:spacing w:val="0"/>
                <w:kern w:val="2"/>
                <w:sz w:val="22"/>
                <w:szCs w:val="22"/>
                <w:highlight w:val="none"/>
              </w:rPr>
            </w:pPr>
          </w:p>
        </w:tc>
        <w:tc>
          <w:tcPr>
            <w:tcW w:w="407" w:type="pct"/>
            <w:vAlign w:val="center"/>
          </w:tcPr>
          <w:p w14:paraId="011A8D02">
            <w:pPr>
              <w:spacing w:line="360" w:lineRule="auto"/>
              <w:jc w:val="center"/>
              <w:rPr>
                <w:rFonts w:hint="eastAsia" w:ascii="宋体" w:hAnsi="宋体" w:eastAsia="宋体" w:cs="宋体"/>
                <w:color w:val="auto"/>
                <w:kern w:val="2"/>
                <w:sz w:val="22"/>
                <w:szCs w:val="22"/>
                <w:highlight w:val="none"/>
              </w:rPr>
            </w:pPr>
          </w:p>
        </w:tc>
      </w:tr>
      <w:tr w14:paraId="359E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09" w:type="pct"/>
            <w:vAlign w:val="center"/>
          </w:tcPr>
          <w:p w14:paraId="5927D842">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131FB7F0">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1.2设备启用后第一个月为产品试用期，如在一个月内有多次不良反馈，厂家仍无法改善或供货期间发生不良事件经医院评估确认无法保障医疗质量安全的则甲方有权利单方终止合同。</w:t>
            </w:r>
          </w:p>
        </w:tc>
        <w:tc>
          <w:tcPr>
            <w:tcW w:w="375" w:type="pct"/>
            <w:vAlign w:val="center"/>
          </w:tcPr>
          <w:p w14:paraId="2D733E28">
            <w:pPr>
              <w:pStyle w:val="34"/>
              <w:keepNext w:val="0"/>
              <w:adjustRightInd/>
              <w:spacing w:before="0" w:after="0" w:line="360" w:lineRule="auto"/>
              <w:textAlignment w:val="auto"/>
              <w:rPr>
                <w:rFonts w:hint="eastAsia" w:ascii="宋体" w:hAnsi="宋体" w:eastAsia="宋体" w:cs="宋体"/>
                <w:color w:val="auto"/>
                <w:spacing w:val="0"/>
                <w:kern w:val="2"/>
                <w:sz w:val="22"/>
                <w:szCs w:val="22"/>
                <w:highlight w:val="none"/>
              </w:rPr>
            </w:pPr>
          </w:p>
        </w:tc>
        <w:tc>
          <w:tcPr>
            <w:tcW w:w="407" w:type="pct"/>
            <w:vAlign w:val="center"/>
          </w:tcPr>
          <w:p w14:paraId="6C97990F">
            <w:pPr>
              <w:spacing w:line="360" w:lineRule="auto"/>
              <w:jc w:val="center"/>
              <w:rPr>
                <w:rFonts w:hint="eastAsia" w:ascii="宋体" w:hAnsi="宋体" w:eastAsia="宋体" w:cs="宋体"/>
                <w:color w:val="auto"/>
                <w:kern w:val="2"/>
                <w:sz w:val="22"/>
                <w:szCs w:val="22"/>
                <w:highlight w:val="none"/>
              </w:rPr>
            </w:pPr>
          </w:p>
        </w:tc>
      </w:tr>
      <w:tr w14:paraId="60F0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09" w:type="pct"/>
            <w:vAlign w:val="center"/>
          </w:tcPr>
          <w:p w14:paraId="215B83D7">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3E75F066">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1.3供应商中选后，所供应产品的医疗器械注册证、规格型号等关键信息必须与遴选报名资料保持一致。</w:t>
            </w:r>
          </w:p>
        </w:tc>
        <w:tc>
          <w:tcPr>
            <w:tcW w:w="375" w:type="pct"/>
            <w:vAlign w:val="center"/>
          </w:tcPr>
          <w:p w14:paraId="2EA35C42">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13588FC1">
            <w:pPr>
              <w:spacing w:line="360" w:lineRule="auto"/>
              <w:ind w:right="-35"/>
              <w:jc w:val="center"/>
              <w:rPr>
                <w:rFonts w:hint="eastAsia" w:ascii="宋体" w:hAnsi="宋体" w:eastAsia="宋体" w:cs="宋体"/>
                <w:color w:val="auto"/>
                <w:kern w:val="2"/>
                <w:sz w:val="22"/>
                <w:szCs w:val="22"/>
                <w:highlight w:val="none"/>
              </w:rPr>
            </w:pPr>
          </w:p>
        </w:tc>
      </w:tr>
      <w:tr w14:paraId="49DC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09" w:type="pct"/>
            <w:vAlign w:val="center"/>
          </w:tcPr>
          <w:p w14:paraId="21DB26A4">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71A7B646">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2.标的提供的地点：中山市中医院检验科</w:t>
            </w:r>
          </w:p>
        </w:tc>
        <w:tc>
          <w:tcPr>
            <w:tcW w:w="375" w:type="pct"/>
            <w:vAlign w:val="center"/>
          </w:tcPr>
          <w:p w14:paraId="4943A21D">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2276B2A0">
            <w:pPr>
              <w:spacing w:line="360" w:lineRule="auto"/>
              <w:ind w:right="-35"/>
              <w:jc w:val="center"/>
              <w:rPr>
                <w:rFonts w:hint="eastAsia" w:ascii="宋体" w:hAnsi="宋体" w:eastAsia="宋体" w:cs="宋体"/>
                <w:color w:val="auto"/>
                <w:kern w:val="2"/>
                <w:sz w:val="22"/>
                <w:szCs w:val="22"/>
                <w:highlight w:val="none"/>
              </w:rPr>
            </w:pPr>
          </w:p>
        </w:tc>
      </w:tr>
      <w:tr w14:paraId="53CE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09" w:type="pct"/>
            <w:vAlign w:val="center"/>
          </w:tcPr>
          <w:p w14:paraId="4547B98E">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7EE29DA3">
            <w:pPr>
              <w:spacing w:line="360" w:lineRule="auto"/>
              <w:jc w:val="left"/>
              <w:rPr>
                <w:rFonts w:hint="eastAsia" w:ascii="宋体" w:hAnsi="宋体" w:eastAsia="宋体" w:cs="宋体"/>
                <w:i/>
                <w:iCs/>
                <w:color w:val="auto"/>
                <w:kern w:val="2"/>
                <w:sz w:val="22"/>
                <w:szCs w:val="22"/>
                <w:highlight w:val="none"/>
              </w:rPr>
            </w:pPr>
            <w:r>
              <w:rPr>
                <w:rFonts w:hint="eastAsia" w:ascii="宋体" w:hAnsi="宋体" w:eastAsia="宋体" w:cs="宋体"/>
                <w:color w:val="auto"/>
                <w:sz w:val="22"/>
                <w:szCs w:val="22"/>
                <w:highlight w:val="none"/>
                <w:lang w:val="en-US" w:eastAsia="zh-CN"/>
              </w:rPr>
              <w:t>3.响应有效期：从提交响应（响应）文件的截止之日起30日历天。</w:t>
            </w:r>
          </w:p>
        </w:tc>
        <w:tc>
          <w:tcPr>
            <w:tcW w:w="375" w:type="pct"/>
            <w:vAlign w:val="center"/>
          </w:tcPr>
          <w:p w14:paraId="2154B156">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2D72A548">
            <w:pPr>
              <w:spacing w:line="360" w:lineRule="auto"/>
              <w:ind w:right="-35"/>
              <w:jc w:val="center"/>
              <w:rPr>
                <w:rFonts w:hint="eastAsia" w:ascii="宋体" w:hAnsi="宋体" w:eastAsia="宋体" w:cs="宋体"/>
                <w:color w:val="auto"/>
                <w:kern w:val="2"/>
                <w:sz w:val="22"/>
                <w:szCs w:val="22"/>
                <w:highlight w:val="none"/>
              </w:rPr>
            </w:pPr>
          </w:p>
        </w:tc>
      </w:tr>
      <w:tr w14:paraId="114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09" w:type="pct"/>
            <w:vAlign w:val="center"/>
          </w:tcPr>
          <w:p w14:paraId="3CAD1AF0">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50B4380D">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4.付款方式：</w:t>
            </w:r>
          </w:p>
          <w:p w14:paraId="04B7DCCE">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4.1设备结算：设备租赁满一年后，中选人须提供合同、租赁验收报告、有效发票给采购人，采购人收到后于60天内支付合同总额的100%。</w:t>
            </w:r>
          </w:p>
        </w:tc>
        <w:tc>
          <w:tcPr>
            <w:tcW w:w="375" w:type="pct"/>
            <w:vAlign w:val="center"/>
          </w:tcPr>
          <w:p w14:paraId="7AF86A4B">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75D5AF5D">
            <w:pPr>
              <w:spacing w:line="360" w:lineRule="auto"/>
              <w:ind w:right="-35"/>
              <w:jc w:val="center"/>
              <w:rPr>
                <w:rFonts w:hint="eastAsia" w:ascii="宋体" w:hAnsi="宋体" w:eastAsia="宋体" w:cs="宋体"/>
                <w:color w:val="auto"/>
                <w:kern w:val="2"/>
                <w:sz w:val="22"/>
                <w:szCs w:val="22"/>
                <w:highlight w:val="none"/>
              </w:rPr>
            </w:pPr>
          </w:p>
        </w:tc>
      </w:tr>
      <w:tr w14:paraId="3072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09" w:type="pct"/>
            <w:vAlign w:val="center"/>
          </w:tcPr>
          <w:p w14:paraId="312B8106">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286F3ED9">
            <w:pPr>
              <w:widowControl/>
              <w:spacing w:line="360" w:lineRule="auto"/>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4.2耗材结算：</w:t>
            </w:r>
          </w:p>
          <w:p w14:paraId="308A8991">
            <w:pPr>
              <w:widowControl/>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4.2.1</w:t>
            </w:r>
            <w:r>
              <w:rPr>
                <w:rFonts w:hint="eastAsia" w:ascii="宋体" w:hAnsi="宋体" w:eastAsia="宋体" w:cs="宋体"/>
                <w:color w:val="000000"/>
                <w:sz w:val="22"/>
                <w:szCs w:val="22"/>
                <w:shd w:val="clear" w:color="auto" w:fill="FFFFFF"/>
                <w:lang w:val="en-US" w:eastAsia="zh-CN"/>
              </w:rPr>
              <w:t>耗材</w:t>
            </w:r>
            <w:r>
              <w:rPr>
                <w:rFonts w:hint="eastAsia" w:ascii="宋体" w:hAnsi="宋体" w:eastAsia="宋体" w:cs="宋体"/>
                <w:color w:val="000000"/>
                <w:sz w:val="22"/>
                <w:szCs w:val="22"/>
                <w:shd w:val="clear" w:color="auto" w:fill="FFFFFF"/>
              </w:rPr>
              <w:t>交易价格：按甲乙双方在交易平台达成的交易价格执行（具体见本合同附件之采购医用耗材明细表中的交易价），该价格包含耗材制造成本、运输、包装、附随服务等费用、税费及其他一切附加费用以及利润。</w:t>
            </w:r>
          </w:p>
        </w:tc>
        <w:tc>
          <w:tcPr>
            <w:tcW w:w="375" w:type="pct"/>
            <w:vAlign w:val="center"/>
          </w:tcPr>
          <w:p w14:paraId="416FF685">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26EE65B9">
            <w:pPr>
              <w:spacing w:line="360" w:lineRule="auto"/>
              <w:ind w:right="-35"/>
              <w:jc w:val="center"/>
              <w:rPr>
                <w:rFonts w:hint="eastAsia" w:ascii="宋体" w:hAnsi="宋体" w:eastAsia="宋体" w:cs="宋体"/>
                <w:color w:val="auto"/>
                <w:kern w:val="2"/>
                <w:sz w:val="22"/>
                <w:szCs w:val="22"/>
                <w:highlight w:val="none"/>
              </w:rPr>
            </w:pPr>
          </w:p>
        </w:tc>
      </w:tr>
      <w:tr w14:paraId="63D8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9" w:type="pct"/>
            <w:vAlign w:val="center"/>
          </w:tcPr>
          <w:p w14:paraId="2EDBA699">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156EE561">
            <w:pPr>
              <w:widowControl/>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000000"/>
                <w:sz w:val="22"/>
                <w:szCs w:val="22"/>
                <w:shd w:val="clear" w:color="auto" w:fill="FFFFFF"/>
                <w:lang w:val="en-US" w:eastAsia="zh-CN"/>
              </w:rPr>
              <w:t>4.2.2</w:t>
            </w:r>
            <w:r>
              <w:rPr>
                <w:rFonts w:hint="eastAsia" w:ascii="宋体" w:hAnsi="宋体" w:eastAsia="宋体" w:cs="宋体"/>
                <w:color w:val="000000"/>
                <w:sz w:val="22"/>
                <w:szCs w:val="22"/>
                <w:shd w:val="clear" w:color="auto" w:fill="FFFFFF"/>
              </w:rPr>
              <w:t>本合同履行期间，如遇政策性调价，按政策规定的价格执行。</w:t>
            </w:r>
          </w:p>
        </w:tc>
        <w:tc>
          <w:tcPr>
            <w:tcW w:w="375" w:type="pct"/>
            <w:vAlign w:val="center"/>
          </w:tcPr>
          <w:p w14:paraId="29630191">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1A664A99">
            <w:pPr>
              <w:pStyle w:val="34"/>
              <w:keepNext w:val="0"/>
              <w:adjustRightInd/>
              <w:spacing w:before="0" w:after="0" w:line="360" w:lineRule="auto"/>
              <w:textAlignment w:val="auto"/>
              <w:rPr>
                <w:rFonts w:hint="eastAsia" w:ascii="宋体" w:hAnsi="宋体" w:eastAsia="宋体" w:cs="宋体"/>
                <w:color w:val="auto"/>
                <w:spacing w:val="0"/>
                <w:kern w:val="2"/>
                <w:sz w:val="22"/>
                <w:szCs w:val="22"/>
                <w:highlight w:val="none"/>
              </w:rPr>
            </w:pPr>
          </w:p>
        </w:tc>
      </w:tr>
      <w:tr w14:paraId="0EFE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5313B026">
            <w:pPr>
              <w:widowControl w:val="0"/>
              <w:spacing w:line="360" w:lineRule="auto"/>
              <w:ind w:left="170"/>
              <w:jc w:val="center"/>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9</w:t>
            </w:r>
          </w:p>
        </w:tc>
        <w:tc>
          <w:tcPr>
            <w:tcW w:w="3808" w:type="pct"/>
            <w:vAlign w:val="center"/>
          </w:tcPr>
          <w:p w14:paraId="1C06A424">
            <w:pPr>
              <w:widowControl/>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000000"/>
                <w:sz w:val="22"/>
                <w:szCs w:val="22"/>
                <w:shd w:val="clear" w:color="auto" w:fill="FFFFFF"/>
                <w:lang w:val="en-US" w:eastAsia="zh-CN"/>
              </w:rPr>
              <w:t>4.2.3</w:t>
            </w:r>
            <w:r>
              <w:rPr>
                <w:rFonts w:hint="eastAsia" w:ascii="宋体" w:hAnsi="宋体" w:eastAsia="宋体" w:cs="宋体"/>
                <w:color w:val="000000"/>
                <w:sz w:val="22"/>
                <w:szCs w:val="22"/>
                <w:shd w:val="clear" w:color="auto" w:fill="FFFFFF"/>
              </w:rPr>
              <w:t>医用耗材送达交收地点后，甲方应按相关规定验收。甲方确认收货后，乙方应及时将发票送达甲方。甲方按院内流程办理发票付款。</w:t>
            </w:r>
          </w:p>
        </w:tc>
        <w:tc>
          <w:tcPr>
            <w:tcW w:w="375" w:type="pct"/>
            <w:vAlign w:val="center"/>
          </w:tcPr>
          <w:p w14:paraId="63CB05C9">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1D51807E">
            <w:pPr>
              <w:spacing w:line="360" w:lineRule="auto"/>
              <w:jc w:val="center"/>
              <w:rPr>
                <w:rFonts w:hint="eastAsia" w:ascii="宋体" w:hAnsi="宋体" w:eastAsia="宋体" w:cs="宋体"/>
                <w:color w:val="auto"/>
                <w:kern w:val="2"/>
                <w:sz w:val="22"/>
                <w:szCs w:val="22"/>
                <w:highlight w:val="none"/>
              </w:rPr>
            </w:pPr>
          </w:p>
        </w:tc>
      </w:tr>
      <w:tr w14:paraId="4DB6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60F72776">
            <w:pPr>
              <w:widowControl w:val="0"/>
              <w:spacing w:line="360" w:lineRule="auto"/>
              <w:ind w:left="170"/>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10</w:t>
            </w:r>
          </w:p>
        </w:tc>
        <w:tc>
          <w:tcPr>
            <w:tcW w:w="3808" w:type="pct"/>
            <w:vAlign w:val="center"/>
          </w:tcPr>
          <w:p w14:paraId="60832CD6">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000000"/>
                <w:sz w:val="22"/>
                <w:szCs w:val="22"/>
                <w:shd w:val="clear" w:color="auto" w:fill="FFFFFF"/>
                <w:lang w:val="en-US" w:eastAsia="zh-CN"/>
              </w:rPr>
              <w:t>4.2.4</w:t>
            </w:r>
            <w:r>
              <w:rPr>
                <w:rFonts w:hint="eastAsia" w:ascii="宋体" w:hAnsi="宋体" w:eastAsia="宋体" w:cs="宋体"/>
                <w:color w:val="000000"/>
                <w:sz w:val="22"/>
                <w:szCs w:val="22"/>
                <w:shd w:val="clear" w:color="auto" w:fill="FFFFFF"/>
              </w:rPr>
              <w:t>结算时间：甲方在收到合法发票之日起最迟不得超过6个月进行交易价款结算</w:t>
            </w:r>
          </w:p>
        </w:tc>
        <w:tc>
          <w:tcPr>
            <w:tcW w:w="375" w:type="pct"/>
            <w:vAlign w:val="center"/>
          </w:tcPr>
          <w:p w14:paraId="74480D49">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722145B7">
            <w:pPr>
              <w:spacing w:line="360" w:lineRule="auto"/>
              <w:jc w:val="center"/>
              <w:rPr>
                <w:rFonts w:hint="eastAsia" w:ascii="宋体" w:hAnsi="宋体" w:eastAsia="宋体" w:cs="宋体"/>
                <w:color w:val="auto"/>
                <w:kern w:val="2"/>
                <w:sz w:val="22"/>
                <w:szCs w:val="22"/>
                <w:highlight w:val="none"/>
              </w:rPr>
            </w:pPr>
          </w:p>
        </w:tc>
      </w:tr>
      <w:tr w14:paraId="0774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40E65168">
            <w:pPr>
              <w:widowControl w:val="0"/>
              <w:spacing w:line="360" w:lineRule="auto"/>
              <w:ind w:left="170"/>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11</w:t>
            </w:r>
          </w:p>
        </w:tc>
        <w:tc>
          <w:tcPr>
            <w:tcW w:w="3808" w:type="pct"/>
            <w:vAlign w:val="center"/>
          </w:tcPr>
          <w:p w14:paraId="03CFDC02">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6.验收要求：</w:t>
            </w:r>
          </w:p>
          <w:p w14:paraId="16A0D3D3">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6.1验收方式：由采购人组织的项目验收小组进行验收。</w:t>
            </w:r>
          </w:p>
        </w:tc>
        <w:tc>
          <w:tcPr>
            <w:tcW w:w="375" w:type="pct"/>
            <w:vAlign w:val="center"/>
          </w:tcPr>
          <w:p w14:paraId="6FA7784B">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151AB122">
            <w:pPr>
              <w:spacing w:line="360" w:lineRule="auto"/>
              <w:jc w:val="center"/>
              <w:rPr>
                <w:rFonts w:hint="eastAsia" w:ascii="宋体" w:hAnsi="宋体" w:eastAsia="宋体" w:cs="宋体"/>
                <w:color w:val="auto"/>
                <w:kern w:val="2"/>
                <w:sz w:val="22"/>
                <w:szCs w:val="22"/>
                <w:highlight w:val="none"/>
              </w:rPr>
            </w:pPr>
          </w:p>
        </w:tc>
      </w:tr>
      <w:tr w14:paraId="1065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68A280F6">
            <w:pPr>
              <w:widowControl w:val="0"/>
              <w:spacing w:line="360" w:lineRule="auto"/>
              <w:ind w:left="170"/>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12</w:t>
            </w:r>
          </w:p>
        </w:tc>
        <w:tc>
          <w:tcPr>
            <w:tcW w:w="3808" w:type="pct"/>
            <w:vAlign w:val="center"/>
          </w:tcPr>
          <w:p w14:paraId="31D8AD9E">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6.2验收程序、验收时间、验收内容：中选人将所供产品运送至交货地点，采购人、中选人双方共同拆箱，中选人根据租赁合同产品安装调试完成并移交所有资料文档后，由采购人负责接收，中选人应向采购人提供全套的材料/检验产品合格证、使用说明书及其它技术资料。产品租赁满一年后，采购人、中选人双方共同签署租赁验收相关资料。</w:t>
            </w:r>
          </w:p>
        </w:tc>
        <w:tc>
          <w:tcPr>
            <w:tcW w:w="375" w:type="pct"/>
            <w:vAlign w:val="center"/>
          </w:tcPr>
          <w:p w14:paraId="58DA0D46">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2649D200">
            <w:pPr>
              <w:spacing w:line="360" w:lineRule="auto"/>
              <w:jc w:val="center"/>
              <w:rPr>
                <w:rFonts w:hint="eastAsia" w:ascii="宋体" w:hAnsi="宋体" w:eastAsia="宋体" w:cs="宋体"/>
                <w:color w:val="auto"/>
                <w:kern w:val="2"/>
                <w:sz w:val="22"/>
                <w:szCs w:val="22"/>
                <w:highlight w:val="none"/>
              </w:rPr>
            </w:pPr>
          </w:p>
        </w:tc>
      </w:tr>
      <w:tr w14:paraId="094D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52D54691">
            <w:pPr>
              <w:widowControl w:val="0"/>
              <w:spacing w:line="360" w:lineRule="auto"/>
              <w:ind w:left="170"/>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13</w:t>
            </w:r>
          </w:p>
        </w:tc>
        <w:tc>
          <w:tcPr>
            <w:tcW w:w="3808" w:type="pct"/>
            <w:vAlign w:val="center"/>
          </w:tcPr>
          <w:p w14:paraId="515C0BFB">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6.3验收标准：验收按国家有关的标准规定、规范进行。验收时如发现所租赁的设备有短装、次品、损坏或其它不符合本合同规定之情形者，采购人应做出详尽的现场记录，或由采购人、中选人双方签署备忘录。此现场记录或备忘录可用作补充、缺失和更换损坏部件的有效证据。由此产生的有关费用由中选人承担。</w:t>
            </w:r>
          </w:p>
        </w:tc>
        <w:tc>
          <w:tcPr>
            <w:tcW w:w="375" w:type="pct"/>
            <w:vAlign w:val="center"/>
          </w:tcPr>
          <w:p w14:paraId="226209F5">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0B2582C6">
            <w:pPr>
              <w:spacing w:line="360" w:lineRule="auto"/>
              <w:jc w:val="center"/>
              <w:rPr>
                <w:rFonts w:hint="eastAsia" w:ascii="宋体" w:hAnsi="宋体" w:eastAsia="宋体" w:cs="宋体"/>
                <w:color w:val="auto"/>
                <w:kern w:val="2"/>
                <w:sz w:val="22"/>
                <w:szCs w:val="22"/>
                <w:highlight w:val="none"/>
              </w:rPr>
            </w:pPr>
          </w:p>
        </w:tc>
      </w:tr>
      <w:tr w14:paraId="18B6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3E387701">
            <w:pPr>
              <w:widowControl w:val="0"/>
              <w:spacing w:line="360" w:lineRule="auto"/>
              <w:ind w:left="170"/>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14</w:t>
            </w:r>
          </w:p>
        </w:tc>
        <w:tc>
          <w:tcPr>
            <w:tcW w:w="3808" w:type="pct"/>
            <w:vAlign w:val="center"/>
          </w:tcPr>
          <w:p w14:paraId="71947DB7">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6.4其他要求：如在租赁过程中发现产品达不到验收标准或合同及合同相关技术文件规定，中选人应及时安排更换，以保证合同产品最终达到合同或合同相关技术文件中规定的性能和要求。更换的相关费用由中选人承担并承担由此造成的一切损失。如中选人没有及时提供相关证件（如商检证等），有可能影响验收进程，所导致的经济损失，由中选人自行承担。</w:t>
            </w:r>
          </w:p>
        </w:tc>
        <w:tc>
          <w:tcPr>
            <w:tcW w:w="375" w:type="pct"/>
            <w:vAlign w:val="center"/>
          </w:tcPr>
          <w:p w14:paraId="203CBC85">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30F508A1">
            <w:pPr>
              <w:spacing w:line="360" w:lineRule="auto"/>
              <w:jc w:val="center"/>
              <w:rPr>
                <w:rFonts w:hint="eastAsia" w:ascii="宋体" w:hAnsi="宋体" w:eastAsia="宋体" w:cs="宋体"/>
                <w:color w:val="auto"/>
                <w:kern w:val="2"/>
                <w:sz w:val="22"/>
                <w:szCs w:val="22"/>
                <w:highlight w:val="none"/>
              </w:rPr>
            </w:pPr>
          </w:p>
        </w:tc>
      </w:tr>
    </w:tbl>
    <w:p w14:paraId="7A79A534">
      <w:pPr>
        <w:ind w:left="463" w:hanging="403" w:hangingChars="192"/>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注：1.</w:t>
      </w:r>
      <w:r>
        <w:rPr>
          <w:rFonts w:hint="eastAsia" w:asciiTheme="minorEastAsia" w:hAnsiTheme="minorEastAsia" w:eastAsiaTheme="minorEastAsia" w:cstheme="minorEastAsia"/>
          <w:b/>
          <w:color w:val="auto"/>
          <w:highlight w:val="none"/>
        </w:rPr>
        <w:t>对</w:t>
      </w:r>
      <w:r>
        <w:rPr>
          <w:rFonts w:hint="eastAsia" w:asciiTheme="minorEastAsia" w:hAnsiTheme="minorEastAsia" w:eastAsiaTheme="minorEastAsia" w:cstheme="minorEastAsia"/>
          <w:b/>
          <w:color w:val="auto"/>
          <w:highlight w:val="none"/>
          <w:lang w:val="en-GB"/>
        </w:rPr>
        <w:t>于上述要求，如</w:t>
      </w:r>
      <w:r>
        <w:rPr>
          <w:rFonts w:hint="eastAsia" w:asciiTheme="minorEastAsia" w:hAnsiTheme="minorEastAsia" w:eastAsiaTheme="minorEastAsia" w:cstheme="minorEastAsia"/>
          <w:b/>
          <w:color w:val="auto"/>
          <w:highlight w:val="none"/>
          <w:lang w:val="en-GB" w:eastAsia="zh-CN"/>
        </w:rPr>
        <w:t>响应</w:t>
      </w:r>
      <w:r>
        <w:rPr>
          <w:rFonts w:hint="eastAsia" w:asciiTheme="minorEastAsia" w:hAnsiTheme="minorEastAsia" w:eastAsiaTheme="minorEastAsia" w:cstheme="minorEastAsia"/>
          <w:b/>
          <w:color w:val="auto"/>
          <w:highlight w:val="none"/>
          <w:lang w:val="en-GB"/>
        </w:rPr>
        <w:t>人完全响应，则请在“是否响应”栏内打“√”，对空白或打“×”视为偏离，请在“偏离说明”栏内扼要说明偏离情况。</w:t>
      </w:r>
    </w:p>
    <w:p w14:paraId="78CB306E">
      <w:pPr>
        <w:ind w:firstLine="420" w:firstLineChars="200"/>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2.此表内容必须与实施方案中所介绍的内容一致，打“★”项为不可负偏离(劣于)的重要项。</w:t>
      </w:r>
    </w:p>
    <w:p w14:paraId="244ABB63">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3.本表内容不得擅自修改。</w:t>
      </w:r>
    </w:p>
    <w:p w14:paraId="040EFE9D">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5A098182">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人名称：（盖章）</w:t>
      </w:r>
    </w:p>
    <w:p w14:paraId="5557012D">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日期：年月日</w:t>
      </w:r>
    </w:p>
    <w:p w14:paraId="4D33B11B">
      <w:pPr>
        <w:pStyle w:val="35"/>
        <w:spacing w:line="240" w:lineRule="auto"/>
        <w:ind w:right="100" w:rightChars="48" w:firstLine="4960" w:firstLineChars="2067"/>
        <w:jc w:val="right"/>
        <w:rPr>
          <w:rFonts w:hint="eastAsia" w:ascii="Times New Roman" w:hAnsi="Times New Roman" w:eastAsia="宋体" w:cs="Times New Roman"/>
          <w:kern w:val="2"/>
          <w:sz w:val="21"/>
          <w:szCs w:val="21"/>
          <w:highlight w:val="none"/>
          <w:lang w:val="en-US" w:eastAsia="zh-CN" w:bidi="ar-SA"/>
        </w:rPr>
      </w:pPr>
      <w:r>
        <w:rPr>
          <w:rFonts w:hint="eastAsia" w:asciiTheme="minorEastAsia" w:hAnsiTheme="minorEastAsia" w:eastAsiaTheme="minorEastAsia" w:cstheme="minorEastAsia"/>
          <w:color w:val="auto"/>
          <w:highlight w:val="none"/>
        </w:rPr>
        <w:br w:type="page"/>
      </w:r>
    </w:p>
    <w:p w14:paraId="055554C8">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格式六：</w:t>
      </w:r>
    </w:p>
    <w:p w14:paraId="5D0023A9">
      <w:pPr>
        <w:pStyle w:val="36"/>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6"/>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供应商资格信用承诺函</w:t>
      </w:r>
    </w:p>
    <w:p w14:paraId="771DF17B">
      <w:pPr>
        <w:pStyle w:val="36"/>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w:t>
      </w:r>
      <w:r>
        <w:rPr>
          <w:rFonts w:hint="eastAsia" w:ascii="Times New Roman" w:hAnsi="Times New Roman"/>
          <w:color w:val="000000"/>
          <w:kern w:val="2"/>
          <w:sz w:val="24"/>
          <w:szCs w:val="24"/>
          <w:highlight w:val="none"/>
          <w:lang w:eastAsia="zh-CN"/>
        </w:rPr>
        <w:t>遴选文件</w:t>
      </w:r>
      <w:r>
        <w:rPr>
          <w:rFonts w:hint="default" w:ascii="Times New Roman" w:hAnsi="Times New Roman"/>
          <w:color w:val="000000"/>
          <w:kern w:val="2"/>
          <w:sz w:val="24"/>
          <w:szCs w:val="24"/>
          <w:highlight w:val="none"/>
          <w:lang w:eastAsia="zh-CN"/>
        </w:rPr>
        <w:t>资格要求规定的：</w:t>
      </w:r>
    </w:p>
    <w:p w14:paraId="275B8663">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w:t>
      </w:r>
      <w:r>
        <w:rPr>
          <w:rFonts w:hint="eastAsia"/>
          <w:color w:val="000000"/>
          <w:sz w:val="24"/>
          <w:highlight w:val="none"/>
          <w:lang w:eastAsia="zh-CN"/>
        </w:rPr>
        <w:t>遴选文件</w:t>
      </w:r>
      <w:r>
        <w:rPr>
          <w:color w:val="000000"/>
          <w:sz w:val="24"/>
          <w:highlight w:val="none"/>
        </w:rPr>
        <w:t>资格要求提供相应的证明材料。</w:t>
      </w:r>
    </w:p>
    <w:p w14:paraId="352BB68C">
      <w:pPr>
        <w:pStyle w:val="35"/>
        <w:tabs>
          <w:tab w:val="decimal" w:pos="315"/>
          <w:tab w:val="left" w:pos="630"/>
        </w:tabs>
        <w:ind w:left="210" w:firstLine="0" w:firstLineChars="0"/>
        <w:rPr>
          <w:rFonts w:hint="eastAsia"/>
          <w:b/>
          <w:bCs/>
          <w:highlight w:val="none"/>
        </w:rPr>
      </w:pPr>
    </w:p>
    <w:p w14:paraId="448381D9">
      <w:pPr>
        <w:pStyle w:val="35"/>
        <w:tabs>
          <w:tab w:val="decimal" w:pos="315"/>
          <w:tab w:val="left" w:pos="630"/>
        </w:tabs>
        <w:ind w:left="210" w:firstLine="0" w:firstLineChars="0"/>
        <w:rPr>
          <w:rFonts w:hint="eastAsia"/>
          <w:b/>
          <w:bCs/>
          <w:highlight w:val="none"/>
        </w:rPr>
      </w:pPr>
    </w:p>
    <w:p w14:paraId="3F5201DC">
      <w:pPr>
        <w:pStyle w:val="35"/>
        <w:tabs>
          <w:tab w:val="decimal" w:pos="315"/>
          <w:tab w:val="left" w:pos="630"/>
        </w:tabs>
        <w:ind w:left="210" w:firstLine="0" w:firstLineChars="0"/>
        <w:rPr>
          <w:rFonts w:hint="eastAsia"/>
          <w:b/>
          <w:bCs/>
          <w:highlight w:val="none"/>
        </w:rPr>
      </w:pPr>
    </w:p>
    <w:p w14:paraId="291771C4">
      <w:pPr>
        <w:pStyle w:val="35"/>
        <w:tabs>
          <w:tab w:val="decimal" w:pos="315"/>
          <w:tab w:val="left" w:pos="630"/>
        </w:tabs>
        <w:ind w:left="210" w:firstLine="0" w:firstLineChars="0"/>
        <w:rPr>
          <w:rFonts w:hint="eastAsia"/>
          <w:b/>
          <w:bCs/>
          <w:highlight w:val="none"/>
        </w:rPr>
      </w:pPr>
    </w:p>
    <w:p w14:paraId="417C5BC1">
      <w:pPr>
        <w:pStyle w:val="35"/>
        <w:tabs>
          <w:tab w:val="decimal" w:pos="315"/>
          <w:tab w:val="left" w:pos="630"/>
        </w:tabs>
        <w:ind w:left="210" w:firstLine="0" w:firstLineChars="0"/>
        <w:rPr>
          <w:rFonts w:hint="eastAsia"/>
          <w:b/>
          <w:bCs/>
          <w:highlight w:val="none"/>
        </w:rPr>
      </w:pPr>
    </w:p>
    <w:p w14:paraId="6F0A843D">
      <w:pPr>
        <w:pStyle w:val="35"/>
        <w:tabs>
          <w:tab w:val="decimal" w:pos="315"/>
          <w:tab w:val="left" w:pos="630"/>
        </w:tabs>
        <w:ind w:left="210" w:firstLine="0" w:firstLineChars="0"/>
        <w:rPr>
          <w:rFonts w:hint="eastAsia"/>
          <w:b/>
          <w:bCs/>
          <w:highlight w:val="none"/>
        </w:rPr>
      </w:pPr>
    </w:p>
    <w:p w14:paraId="31B1A7CF">
      <w:pPr>
        <w:pStyle w:val="35"/>
        <w:tabs>
          <w:tab w:val="decimal" w:pos="315"/>
          <w:tab w:val="left" w:pos="630"/>
        </w:tabs>
        <w:ind w:left="210" w:firstLine="0" w:firstLineChars="0"/>
        <w:rPr>
          <w:rFonts w:hint="eastAsia"/>
          <w:b/>
          <w:bCs/>
          <w:highlight w:val="none"/>
        </w:rPr>
      </w:pPr>
    </w:p>
    <w:p w14:paraId="67DE597E">
      <w:pPr>
        <w:pStyle w:val="35"/>
        <w:tabs>
          <w:tab w:val="decimal" w:pos="315"/>
          <w:tab w:val="left" w:pos="630"/>
        </w:tabs>
        <w:ind w:left="210" w:firstLine="0" w:firstLineChars="0"/>
        <w:rPr>
          <w:rFonts w:hint="eastAsia"/>
          <w:b/>
          <w:bCs/>
          <w:highlight w:val="none"/>
        </w:rPr>
      </w:pPr>
    </w:p>
    <w:p w14:paraId="3E604480">
      <w:pPr>
        <w:pStyle w:val="35"/>
        <w:tabs>
          <w:tab w:val="decimal" w:pos="315"/>
          <w:tab w:val="left" w:pos="630"/>
        </w:tabs>
        <w:ind w:left="210" w:firstLine="0" w:firstLineChars="0"/>
        <w:rPr>
          <w:rFonts w:hint="eastAsia"/>
          <w:b/>
          <w:bCs/>
          <w:highlight w:val="none"/>
        </w:rPr>
      </w:pPr>
    </w:p>
    <w:p w14:paraId="41F716ED">
      <w:pPr>
        <w:pStyle w:val="35"/>
        <w:tabs>
          <w:tab w:val="decimal" w:pos="315"/>
          <w:tab w:val="left" w:pos="630"/>
        </w:tabs>
        <w:ind w:left="210" w:firstLine="0" w:firstLineChars="0"/>
        <w:rPr>
          <w:rFonts w:hint="eastAsia"/>
          <w:b/>
          <w:bCs/>
          <w:highlight w:val="none"/>
        </w:rPr>
      </w:pPr>
    </w:p>
    <w:p w14:paraId="5ED42C15">
      <w:pPr>
        <w:pStyle w:val="35"/>
        <w:tabs>
          <w:tab w:val="decimal" w:pos="315"/>
          <w:tab w:val="left" w:pos="630"/>
        </w:tabs>
        <w:ind w:left="210" w:firstLine="0" w:firstLineChars="0"/>
        <w:rPr>
          <w:rFonts w:hint="eastAsia"/>
          <w:b/>
          <w:bCs/>
          <w:highlight w:val="none"/>
        </w:rPr>
      </w:pPr>
    </w:p>
    <w:p w14:paraId="4AE5DAEB">
      <w:pPr>
        <w:pStyle w:val="35"/>
        <w:tabs>
          <w:tab w:val="decimal" w:pos="315"/>
          <w:tab w:val="left" w:pos="630"/>
        </w:tabs>
        <w:ind w:left="210" w:firstLine="0" w:firstLineChars="0"/>
        <w:rPr>
          <w:rFonts w:hint="eastAsia"/>
          <w:b/>
          <w:bCs/>
          <w:highlight w:val="none"/>
        </w:rPr>
      </w:pPr>
    </w:p>
    <w:p w14:paraId="373D85C7">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格式七：</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9"/>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1004A3A8">
      <w:pPr>
        <w:rPr>
          <w:rFonts w:hint="eastAsia"/>
          <w:highlight w:val="none"/>
        </w:rPr>
      </w:pPr>
    </w:p>
    <w:p w14:paraId="5D543E26">
      <w:pPr>
        <w:rPr>
          <w:rFonts w:hint="eastAsia"/>
          <w:highlight w:val="none"/>
        </w:rPr>
      </w:pPr>
    </w:p>
    <w:p w14:paraId="73BC6DA6">
      <w:pPr>
        <w:rPr>
          <w:rFonts w:hint="eastAsia"/>
          <w:highlight w:val="none"/>
        </w:rPr>
      </w:pPr>
    </w:p>
    <w:p w14:paraId="065EB56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格式八：</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 w:val="24"/>
          <w:highlight w:val="none"/>
        </w:rPr>
      </w:pPr>
      <w:r>
        <w:rPr>
          <w:color w:val="000000"/>
          <w:sz w:val="24"/>
          <w:highlight w:val="none"/>
        </w:rPr>
        <w:t>响应人名称（盖章）：</w:t>
      </w:r>
    </w:p>
    <w:p w14:paraId="5CF4CCA3">
      <w:pPr>
        <w:widowControl/>
        <w:spacing w:line="480" w:lineRule="exact"/>
        <w:ind w:firstLine="480"/>
        <w:jc w:val="left"/>
        <w:rPr>
          <w:color w:val="000000"/>
          <w:sz w:val="24"/>
          <w:highlight w:val="none"/>
        </w:rPr>
      </w:pPr>
    </w:p>
    <w:p w14:paraId="57ED4FE3">
      <w:pPr>
        <w:widowControl/>
        <w:spacing w:line="480" w:lineRule="exact"/>
        <w:ind w:firstLine="480"/>
        <w:jc w:val="left"/>
        <w:rPr>
          <w:color w:val="000000"/>
          <w:sz w:val="24"/>
          <w:highlight w:val="none"/>
        </w:rPr>
      </w:pPr>
      <w:r>
        <w:rPr>
          <w:color w:val="000000"/>
          <w:sz w:val="24"/>
          <w:highlight w:val="none"/>
        </w:rPr>
        <w:t>法定代表人（或授权代表）签名：</w:t>
      </w:r>
    </w:p>
    <w:p w14:paraId="232AF7C0">
      <w:pPr>
        <w:widowControl/>
        <w:spacing w:line="480" w:lineRule="exact"/>
        <w:ind w:firstLine="480"/>
        <w:jc w:val="left"/>
        <w:rPr>
          <w:color w:val="000000"/>
          <w:sz w:val="24"/>
          <w:highlight w:val="none"/>
        </w:rPr>
      </w:pPr>
    </w:p>
    <w:p w14:paraId="29FFA6CC">
      <w:pPr>
        <w:widowControl/>
        <w:spacing w:line="480" w:lineRule="exact"/>
        <w:ind w:firstLine="480"/>
        <w:jc w:val="left"/>
        <w:rPr>
          <w:color w:val="000000"/>
          <w:sz w:val="24"/>
          <w:highlight w:val="none"/>
        </w:rPr>
      </w:pPr>
      <w:r>
        <w:rPr>
          <w:color w:val="000000"/>
          <w:sz w:val="24"/>
          <w:highlight w:val="none"/>
        </w:rPr>
        <w:t>日期：年月日</w:t>
      </w:r>
    </w:p>
    <w:p w14:paraId="5464C564">
      <w:pPr>
        <w:widowControl/>
        <w:spacing w:line="480" w:lineRule="exact"/>
        <w:ind w:firstLine="480"/>
        <w:jc w:val="left"/>
        <w:rPr>
          <w:color w:val="000000"/>
          <w:sz w:val="24"/>
          <w:highlight w:val="none"/>
        </w:rPr>
      </w:pPr>
    </w:p>
    <w:p w14:paraId="2232A513">
      <w:pPr>
        <w:pStyle w:val="9"/>
        <w:rPr>
          <w:highlight w:val="none"/>
        </w:rPr>
      </w:pPr>
    </w:p>
    <w:p w14:paraId="6C2DF059">
      <w:pPr>
        <w:rPr>
          <w:highlight w:val="none"/>
        </w:rPr>
      </w:pPr>
    </w:p>
    <w:p w14:paraId="64AA7248">
      <w:pPr>
        <w:pStyle w:val="9"/>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20"/>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格式九：</w:t>
      </w:r>
    </w:p>
    <w:p w14:paraId="5A126C47">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embedRegular r:id="rId1" w:fontKey="{DBA5973D-47D2-4D4E-BEC8-946E7D37F2DC}"/>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8531C7FA-0CD3-4C0F-B9B3-0C4192122302}"/>
  </w:font>
  <w:font w:name="Tahoma">
    <w:panose1 w:val="020B0604030504040204"/>
    <w:charset w:val="00"/>
    <w:family w:val="swiss"/>
    <w:pitch w:val="default"/>
    <w:sig w:usb0="E1002EFF" w:usb1="C000605B" w:usb2="00000029" w:usb3="00000000" w:csb0="200101FF" w:csb1="20280000"/>
    <w:embedRegular r:id="rId3" w:fontKey="{AF718CA6-D92C-46F7-A390-846543494E32}"/>
  </w:font>
  <w:font w:name="仿宋">
    <w:panose1 w:val="02010609060101010101"/>
    <w:charset w:val="86"/>
    <w:family w:val="auto"/>
    <w:pitch w:val="default"/>
    <w:sig w:usb0="800002BF" w:usb1="38CF7CFA" w:usb2="00000016" w:usb3="00000000" w:csb0="00040001" w:csb1="00000000"/>
    <w:embedRegular r:id="rId4" w:fontKey="{B31E1E67-2806-48CC-9218-445CF2D789F9}"/>
  </w:font>
  <w:font w:name="仿宋_GB2312">
    <w:altName w:val="仿宋"/>
    <w:panose1 w:val="00000000000000000000"/>
    <w:charset w:val="86"/>
    <w:family w:val="modern"/>
    <w:pitch w:val="default"/>
    <w:sig w:usb0="00000000" w:usb1="00000000" w:usb2="00000010" w:usb3="00000000" w:csb0="00040000" w:csb1="00000000"/>
    <w:embedRegular r:id="rId5" w:fontKey="{56A4D85D-AF13-4E49-BA30-643C40F0F3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2"/>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2"/>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abstractNum w:abstractNumId="2">
    <w:nsid w:val="5FD01D0C"/>
    <w:multiLevelType w:val="singleLevel"/>
    <w:tmpl w:val="5FD01D0C"/>
    <w:lvl w:ilvl="0" w:tentative="0">
      <w:start w:val="1"/>
      <w:numFmt w:val="chineseCounting"/>
      <w:suff w:val="nothing"/>
      <w:lvlText w:val="%1、"/>
      <w:lvlJc w:val="left"/>
      <w:rPr>
        <w:rFonts w:hint="eastAsia"/>
      </w:r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1E90844"/>
    <w:rsid w:val="020C7A9F"/>
    <w:rsid w:val="0236335D"/>
    <w:rsid w:val="026F4134"/>
    <w:rsid w:val="027D172A"/>
    <w:rsid w:val="02B71832"/>
    <w:rsid w:val="02BD28BB"/>
    <w:rsid w:val="034B6DE4"/>
    <w:rsid w:val="03AE5E66"/>
    <w:rsid w:val="03D96696"/>
    <w:rsid w:val="04321AE1"/>
    <w:rsid w:val="044959C1"/>
    <w:rsid w:val="04956AE0"/>
    <w:rsid w:val="04BD38C2"/>
    <w:rsid w:val="051830A1"/>
    <w:rsid w:val="05415DAA"/>
    <w:rsid w:val="059B12C3"/>
    <w:rsid w:val="05A037E6"/>
    <w:rsid w:val="06070569"/>
    <w:rsid w:val="06345E06"/>
    <w:rsid w:val="064F6E71"/>
    <w:rsid w:val="0654635C"/>
    <w:rsid w:val="06783553"/>
    <w:rsid w:val="06AD62E4"/>
    <w:rsid w:val="07A11C91"/>
    <w:rsid w:val="07B36F67"/>
    <w:rsid w:val="07FB0F3B"/>
    <w:rsid w:val="08127715"/>
    <w:rsid w:val="08242341"/>
    <w:rsid w:val="08365E65"/>
    <w:rsid w:val="084240B7"/>
    <w:rsid w:val="089D7DD2"/>
    <w:rsid w:val="08B752BB"/>
    <w:rsid w:val="08D44105"/>
    <w:rsid w:val="09092FFD"/>
    <w:rsid w:val="09322AD0"/>
    <w:rsid w:val="09457797"/>
    <w:rsid w:val="09E56F0E"/>
    <w:rsid w:val="09E76A06"/>
    <w:rsid w:val="0A0E482C"/>
    <w:rsid w:val="0A2148F3"/>
    <w:rsid w:val="0A3C2768"/>
    <w:rsid w:val="0A645793"/>
    <w:rsid w:val="0ACC2AB1"/>
    <w:rsid w:val="0AED4B0C"/>
    <w:rsid w:val="0B077F8D"/>
    <w:rsid w:val="0B3B7316"/>
    <w:rsid w:val="0BE7210F"/>
    <w:rsid w:val="0C4F369E"/>
    <w:rsid w:val="0C5332C3"/>
    <w:rsid w:val="0CA75583"/>
    <w:rsid w:val="0CC872A8"/>
    <w:rsid w:val="0CF85DDF"/>
    <w:rsid w:val="0D5A6D87"/>
    <w:rsid w:val="0D847C4F"/>
    <w:rsid w:val="0D8542C2"/>
    <w:rsid w:val="0D884CCF"/>
    <w:rsid w:val="0E355B19"/>
    <w:rsid w:val="0E536A00"/>
    <w:rsid w:val="0E5B5FC3"/>
    <w:rsid w:val="0E7A5E55"/>
    <w:rsid w:val="0E8518F4"/>
    <w:rsid w:val="0EB300C3"/>
    <w:rsid w:val="0F4B6AF4"/>
    <w:rsid w:val="0F4C0F63"/>
    <w:rsid w:val="0FA20891"/>
    <w:rsid w:val="0FA71E6F"/>
    <w:rsid w:val="0FD5219C"/>
    <w:rsid w:val="0FD92330"/>
    <w:rsid w:val="0FE13D46"/>
    <w:rsid w:val="1004560C"/>
    <w:rsid w:val="10105367"/>
    <w:rsid w:val="10194349"/>
    <w:rsid w:val="101E3440"/>
    <w:rsid w:val="10473C8D"/>
    <w:rsid w:val="105C411B"/>
    <w:rsid w:val="11763118"/>
    <w:rsid w:val="119726EB"/>
    <w:rsid w:val="11973186"/>
    <w:rsid w:val="11AD2023"/>
    <w:rsid w:val="120F351E"/>
    <w:rsid w:val="122F22A3"/>
    <w:rsid w:val="1233690D"/>
    <w:rsid w:val="1248598C"/>
    <w:rsid w:val="126C0948"/>
    <w:rsid w:val="12926EFA"/>
    <w:rsid w:val="12B66D8B"/>
    <w:rsid w:val="12DD7FB1"/>
    <w:rsid w:val="13065F6D"/>
    <w:rsid w:val="131807C2"/>
    <w:rsid w:val="133032AB"/>
    <w:rsid w:val="1335117B"/>
    <w:rsid w:val="13731CA7"/>
    <w:rsid w:val="13946135"/>
    <w:rsid w:val="139E4104"/>
    <w:rsid w:val="13C06683"/>
    <w:rsid w:val="13C46CE8"/>
    <w:rsid w:val="13CD3690"/>
    <w:rsid w:val="13F66FF5"/>
    <w:rsid w:val="14056C5F"/>
    <w:rsid w:val="14147066"/>
    <w:rsid w:val="141B4D12"/>
    <w:rsid w:val="14847063"/>
    <w:rsid w:val="14A34167"/>
    <w:rsid w:val="14A64DE1"/>
    <w:rsid w:val="14BC4BF2"/>
    <w:rsid w:val="14CB0249"/>
    <w:rsid w:val="14CB1683"/>
    <w:rsid w:val="14CF6317"/>
    <w:rsid w:val="14DA6DD5"/>
    <w:rsid w:val="14E951B7"/>
    <w:rsid w:val="14F415B7"/>
    <w:rsid w:val="151C5F27"/>
    <w:rsid w:val="15254E58"/>
    <w:rsid w:val="155410C2"/>
    <w:rsid w:val="155E1C7E"/>
    <w:rsid w:val="156D5B46"/>
    <w:rsid w:val="15AD05C9"/>
    <w:rsid w:val="16225C7A"/>
    <w:rsid w:val="164134C1"/>
    <w:rsid w:val="169A7E93"/>
    <w:rsid w:val="16A06855"/>
    <w:rsid w:val="16B50547"/>
    <w:rsid w:val="16DB6C70"/>
    <w:rsid w:val="171B7169"/>
    <w:rsid w:val="173F7E2B"/>
    <w:rsid w:val="17A90CD9"/>
    <w:rsid w:val="17C52DCA"/>
    <w:rsid w:val="17F8087D"/>
    <w:rsid w:val="180715CC"/>
    <w:rsid w:val="180C6E5D"/>
    <w:rsid w:val="1810078A"/>
    <w:rsid w:val="181D2269"/>
    <w:rsid w:val="186075D6"/>
    <w:rsid w:val="1864257A"/>
    <w:rsid w:val="1876405C"/>
    <w:rsid w:val="18DC33FE"/>
    <w:rsid w:val="18FC5C71"/>
    <w:rsid w:val="190E5A1C"/>
    <w:rsid w:val="19150DE7"/>
    <w:rsid w:val="19163892"/>
    <w:rsid w:val="193679FA"/>
    <w:rsid w:val="193D4365"/>
    <w:rsid w:val="1972102C"/>
    <w:rsid w:val="19730A26"/>
    <w:rsid w:val="1977008B"/>
    <w:rsid w:val="199839CC"/>
    <w:rsid w:val="19B56EAA"/>
    <w:rsid w:val="19BC1F42"/>
    <w:rsid w:val="1A0F6C37"/>
    <w:rsid w:val="1A361CF4"/>
    <w:rsid w:val="1A3F2338"/>
    <w:rsid w:val="1A4F1E3F"/>
    <w:rsid w:val="1A9D7B4F"/>
    <w:rsid w:val="1AA73D43"/>
    <w:rsid w:val="1AB70828"/>
    <w:rsid w:val="1AF2145B"/>
    <w:rsid w:val="1B2750C0"/>
    <w:rsid w:val="1B2C6C04"/>
    <w:rsid w:val="1B3D23C9"/>
    <w:rsid w:val="1BD96C26"/>
    <w:rsid w:val="1BF2030E"/>
    <w:rsid w:val="1C0344CD"/>
    <w:rsid w:val="1C24274C"/>
    <w:rsid w:val="1C2456B1"/>
    <w:rsid w:val="1C5D12C5"/>
    <w:rsid w:val="1C810F4D"/>
    <w:rsid w:val="1C8125C2"/>
    <w:rsid w:val="1CB270CF"/>
    <w:rsid w:val="1D0608F4"/>
    <w:rsid w:val="1D081AC5"/>
    <w:rsid w:val="1D122970"/>
    <w:rsid w:val="1D152408"/>
    <w:rsid w:val="1D507571"/>
    <w:rsid w:val="1D516358"/>
    <w:rsid w:val="1D9A3137"/>
    <w:rsid w:val="1DDF4E93"/>
    <w:rsid w:val="1DE26BA3"/>
    <w:rsid w:val="1E041EDF"/>
    <w:rsid w:val="1E3B3B3B"/>
    <w:rsid w:val="1E3E12CD"/>
    <w:rsid w:val="1E7E516C"/>
    <w:rsid w:val="1E852CF4"/>
    <w:rsid w:val="1EB25396"/>
    <w:rsid w:val="1F3B432C"/>
    <w:rsid w:val="1F710084"/>
    <w:rsid w:val="1F7C3313"/>
    <w:rsid w:val="1F9976C0"/>
    <w:rsid w:val="1FBA5C33"/>
    <w:rsid w:val="1FF132AA"/>
    <w:rsid w:val="20731E86"/>
    <w:rsid w:val="21475F33"/>
    <w:rsid w:val="21580905"/>
    <w:rsid w:val="21EB6227"/>
    <w:rsid w:val="22450DA6"/>
    <w:rsid w:val="228D7EAD"/>
    <w:rsid w:val="22BB6BAD"/>
    <w:rsid w:val="23065E2F"/>
    <w:rsid w:val="230D3FCA"/>
    <w:rsid w:val="231030DA"/>
    <w:rsid w:val="23294316"/>
    <w:rsid w:val="23501E59"/>
    <w:rsid w:val="239548FA"/>
    <w:rsid w:val="23B945D3"/>
    <w:rsid w:val="23C034FC"/>
    <w:rsid w:val="23C93DE0"/>
    <w:rsid w:val="24160FEF"/>
    <w:rsid w:val="244F1137"/>
    <w:rsid w:val="2463483B"/>
    <w:rsid w:val="247F38D4"/>
    <w:rsid w:val="24AE4EC9"/>
    <w:rsid w:val="24E11EBE"/>
    <w:rsid w:val="24E66811"/>
    <w:rsid w:val="25054BD9"/>
    <w:rsid w:val="250F3FB0"/>
    <w:rsid w:val="253357AE"/>
    <w:rsid w:val="25611458"/>
    <w:rsid w:val="25816F63"/>
    <w:rsid w:val="2588078D"/>
    <w:rsid w:val="25C2328F"/>
    <w:rsid w:val="25CC0B6B"/>
    <w:rsid w:val="25DB120B"/>
    <w:rsid w:val="25DC73B6"/>
    <w:rsid w:val="2617508F"/>
    <w:rsid w:val="26613359"/>
    <w:rsid w:val="26A40BF9"/>
    <w:rsid w:val="26A67AEB"/>
    <w:rsid w:val="26E77012"/>
    <w:rsid w:val="26F44B99"/>
    <w:rsid w:val="27736336"/>
    <w:rsid w:val="27834D68"/>
    <w:rsid w:val="27DC212D"/>
    <w:rsid w:val="27F50B98"/>
    <w:rsid w:val="281F2D00"/>
    <w:rsid w:val="28702D83"/>
    <w:rsid w:val="28800C4E"/>
    <w:rsid w:val="2885195F"/>
    <w:rsid w:val="28E53263"/>
    <w:rsid w:val="290F208E"/>
    <w:rsid w:val="29303E2B"/>
    <w:rsid w:val="29474174"/>
    <w:rsid w:val="29B669AE"/>
    <w:rsid w:val="29D639B5"/>
    <w:rsid w:val="2A2C65B1"/>
    <w:rsid w:val="2A314658"/>
    <w:rsid w:val="2A382B95"/>
    <w:rsid w:val="2A7F2E91"/>
    <w:rsid w:val="2A8266C2"/>
    <w:rsid w:val="2AC35C5A"/>
    <w:rsid w:val="2AE0038E"/>
    <w:rsid w:val="2AF163EF"/>
    <w:rsid w:val="2AFE4AA5"/>
    <w:rsid w:val="2B0611F2"/>
    <w:rsid w:val="2BAD4394"/>
    <w:rsid w:val="2C0D7F3B"/>
    <w:rsid w:val="2C265224"/>
    <w:rsid w:val="2C2B4F37"/>
    <w:rsid w:val="2C376C2F"/>
    <w:rsid w:val="2C5B122C"/>
    <w:rsid w:val="2CA814B4"/>
    <w:rsid w:val="2D7F1A29"/>
    <w:rsid w:val="2DA74F35"/>
    <w:rsid w:val="2DD07B0B"/>
    <w:rsid w:val="2E493F85"/>
    <w:rsid w:val="2E6402CC"/>
    <w:rsid w:val="2E65537E"/>
    <w:rsid w:val="2EA46F2C"/>
    <w:rsid w:val="2EC86DBC"/>
    <w:rsid w:val="2EFF6701"/>
    <w:rsid w:val="2F1F122A"/>
    <w:rsid w:val="2F215FF3"/>
    <w:rsid w:val="2F2A6D24"/>
    <w:rsid w:val="2F862C22"/>
    <w:rsid w:val="2F87458E"/>
    <w:rsid w:val="2F8E0D2B"/>
    <w:rsid w:val="2FE847F6"/>
    <w:rsid w:val="304932B5"/>
    <w:rsid w:val="30540A12"/>
    <w:rsid w:val="306C4391"/>
    <w:rsid w:val="30832B3B"/>
    <w:rsid w:val="309C75DC"/>
    <w:rsid w:val="30C7600D"/>
    <w:rsid w:val="30D3701B"/>
    <w:rsid w:val="30E90739"/>
    <w:rsid w:val="311324BC"/>
    <w:rsid w:val="31293AA7"/>
    <w:rsid w:val="314E4A9B"/>
    <w:rsid w:val="31672DFC"/>
    <w:rsid w:val="318B0193"/>
    <w:rsid w:val="318B7B2F"/>
    <w:rsid w:val="31D922EB"/>
    <w:rsid w:val="320F2EF1"/>
    <w:rsid w:val="32292413"/>
    <w:rsid w:val="32920373"/>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BC3084"/>
    <w:rsid w:val="35C12A64"/>
    <w:rsid w:val="35EB449F"/>
    <w:rsid w:val="35EF616F"/>
    <w:rsid w:val="362A1F41"/>
    <w:rsid w:val="3634544E"/>
    <w:rsid w:val="363D1E86"/>
    <w:rsid w:val="364439E4"/>
    <w:rsid w:val="365C0F5E"/>
    <w:rsid w:val="367478B5"/>
    <w:rsid w:val="3679148F"/>
    <w:rsid w:val="36AF18A3"/>
    <w:rsid w:val="36C16F69"/>
    <w:rsid w:val="373A365F"/>
    <w:rsid w:val="37536184"/>
    <w:rsid w:val="37B426A3"/>
    <w:rsid w:val="37FC25E8"/>
    <w:rsid w:val="38074287"/>
    <w:rsid w:val="381D0162"/>
    <w:rsid w:val="383A72A1"/>
    <w:rsid w:val="38A47258"/>
    <w:rsid w:val="38AD3B89"/>
    <w:rsid w:val="39210D1B"/>
    <w:rsid w:val="395835DE"/>
    <w:rsid w:val="39706F1A"/>
    <w:rsid w:val="397D4B67"/>
    <w:rsid w:val="398654C1"/>
    <w:rsid w:val="39D249D2"/>
    <w:rsid w:val="3A0604FB"/>
    <w:rsid w:val="3A1470F9"/>
    <w:rsid w:val="3ABC4E9A"/>
    <w:rsid w:val="3AC16F61"/>
    <w:rsid w:val="3ACD7016"/>
    <w:rsid w:val="3B1629BB"/>
    <w:rsid w:val="3B19704C"/>
    <w:rsid w:val="3B320CD0"/>
    <w:rsid w:val="3B425FF9"/>
    <w:rsid w:val="3B9207E8"/>
    <w:rsid w:val="3B96408D"/>
    <w:rsid w:val="3BA157A6"/>
    <w:rsid w:val="3C2D4A5B"/>
    <w:rsid w:val="3C7B1343"/>
    <w:rsid w:val="3CB02E28"/>
    <w:rsid w:val="3CEB4A5B"/>
    <w:rsid w:val="3D0C031A"/>
    <w:rsid w:val="3D371009"/>
    <w:rsid w:val="3DA13D5E"/>
    <w:rsid w:val="3DA97FFD"/>
    <w:rsid w:val="3DB647D3"/>
    <w:rsid w:val="3DBF59D9"/>
    <w:rsid w:val="3E2D5311"/>
    <w:rsid w:val="3E9B73AF"/>
    <w:rsid w:val="3EAF249C"/>
    <w:rsid w:val="3EB968CD"/>
    <w:rsid w:val="3ED100BA"/>
    <w:rsid w:val="3F1E2BD3"/>
    <w:rsid w:val="3F290C82"/>
    <w:rsid w:val="3F96362A"/>
    <w:rsid w:val="3F9A748B"/>
    <w:rsid w:val="3FBD0BAE"/>
    <w:rsid w:val="3FD50418"/>
    <w:rsid w:val="3FF62ABE"/>
    <w:rsid w:val="403F6094"/>
    <w:rsid w:val="40884DD4"/>
    <w:rsid w:val="41232143"/>
    <w:rsid w:val="41357C9D"/>
    <w:rsid w:val="41384034"/>
    <w:rsid w:val="415B1EBD"/>
    <w:rsid w:val="41F45E6E"/>
    <w:rsid w:val="41FB38E8"/>
    <w:rsid w:val="42184B9F"/>
    <w:rsid w:val="421D7F4B"/>
    <w:rsid w:val="42717540"/>
    <w:rsid w:val="42894042"/>
    <w:rsid w:val="42CB76A9"/>
    <w:rsid w:val="42D431E1"/>
    <w:rsid w:val="42F629C9"/>
    <w:rsid w:val="43126B92"/>
    <w:rsid w:val="434D7F2B"/>
    <w:rsid w:val="437316E5"/>
    <w:rsid w:val="43780E57"/>
    <w:rsid w:val="43830078"/>
    <w:rsid w:val="43C91598"/>
    <w:rsid w:val="43DD4B86"/>
    <w:rsid w:val="444706C2"/>
    <w:rsid w:val="445B3FBA"/>
    <w:rsid w:val="447B2DE3"/>
    <w:rsid w:val="44B60B15"/>
    <w:rsid w:val="44B96FF5"/>
    <w:rsid w:val="45152CF7"/>
    <w:rsid w:val="451D6A30"/>
    <w:rsid w:val="45350C77"/>
    <w:rsid w:val="46366B4D"/>
    <w:rsid w:val="466225D9"/>
    <w:rsid w:val="46674A02"/>
    <w:rsid w:val="46792BEA"/>
    <w:rsid w:val="46DF78FC"/>
    <w:rsid w:val="471E284C"/>
    <w:rsid w:val="477E75DC"/>
    <w:rsid w:val="478265E6"/>
    <w:rsid w:val="479223B1"/>
    <w:rsid w:val="479613BE"/>
    <w:rsid w:val="47B65380"/>
    <w:rsid w:val="47F92762"/>
    <w:rsid w:val="480C6CE1"/>
    <w:rsid w:val="486440DC"/>
    <w:rsid w:val="48824A73"/>
    <w:rsid w:val="4883477C"/>
    <w:rsid w:val="49160E35"/>
    <w:rsid w:val="491A11EF"/>
    <w:rsid w:val="49230C0F"/>
    <w:rsid w:val="498C2647"/>
    <w:rsid w:val="49FB78F0"/>
    <w:rsid w:val="4A0F5F3A"/>
    <w:rsid w:val="4A265E69"/>
    <w:rsid w:val="4A2A1CE5"/>
    <w:rsid w:val="4A454E53"/>
    <w:rsid w:val="4A6972CF"/>
    <w:rsid w:val="4AE36536"/>
    <w:rsid w:val="4B00619D"/>
    <w:rsid w:val="4B215BCE"/>
    <w:rsid w:val="4B4B30CF"/>
    <w:rsid w:val="4B6309DD"/>
    <w:rsid w:val="4B642760"/>
    <w:rsid w:val="4B8C5FE6"/>
    <w:rsid w:val="4BA13F1F"/>
    <w:rsid w:val="4BBC79FC"/>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EF120B3"/>
    <w:rsid w:val="4F093CA9"/>
    <w:rsid w:val="4F0D39DF"/>
    <w:rsid w:val="4F4526FF"/>
    <w:rsid w:val="4F5E3989"/>
    <w:rsid w:val="4F950C67"/>
    <w:rsid w:val="4FD82C64"/>
    <w:rsid w:val="50040528"/>
    <w:rsid w:val="50306369"/>
    <w:rsid w:val="50563C2C"/>
    <w:rsid w:val="507A161B"/>
    <w:rsid w:val="509D3A3D"/>
    <w:rsid w:val="50B23FA3"/>
    <w:rsid w:val="50DD7301"/>
    <w:rsid w:val="51275075"/>
    <w:rsid w:val="51306EED"/>
    <w:rsid w:val="51AA37E9"/>
    <w:rsid w:val="51EA0E43"/>
    <w:rsid w:val="51F47298"/>
    <w:rsid w:val="52577A0A"/>
    <w:rsid w:val="52703326"/>
    <w:rsid w:val="528079D5"/>
    <w:rsid w:val="52AB1BDC"/>
    <w:rsid w:val="52C2229C"/>
    <w:rsid w:val="52D91B65"/>
    <w:rsid w:val="531D551D"/>
    <w:rsid w:val="533015C4"/>
    <w:rsid w:val="534D53DE"/>
    <w:rsid w:val="535C52E6"/>
    <w:rsid w:val="537137C2"/>
    <w:rsid w:val="53803128"/>
    <w:rsid w:val="53A85FDD"/>
    <w:rsid w:val="53C64393"/>
    <w:rsid w:val="545509EE"/>
    <w:rsid w:val="54767E7A"/>
    <w:rsid w:val="54E978DB"/>
    <w:rsid w:val="54FF433E"/>
    <w:rsid w:val="55513BBF"/>
    <w:rsid w:val="556C7EFE"/>
    <w:rsid w:val="55F3226C"/>
    <w:rsid w:val="56292694"/>
    <w:rsid w:val="56457A9E"/>
    <w:rsid w:val="56B22C1E"/>
    <w:rsid w:val="56C810A5"/>
    <w:rsid w:val="56E973C7"/>
    <w:rsid w:val="57031B32"/>
    <w:rsid w:val="573F761C"/>
    <w:rsid w:val="574657B9"/>
    <w:rsid w:val="578F619E"/>
    <w:rsid w:val="57A57489"/>
    <w:rsid w:val="57A87BB0"/>
    <w:rsid w:val="57BE43CE"/>
    <w:rsid w:val="57CA29DE"/>
    <w:rsid w:val="57F067B7"/>
    <w:rsid w:val="584A1532"/>
    <w:rsid w:val="58A75C91"/>
    <w:rsid w:val="58D75E75"/>
    <w:rsid w:val="58FF0E19"/>
    <w:rsid w:val="59182329"/>
    <w:rsid w:val="59785AD5"/>
    <w:rsid w:val="59C57F5B"/>
    <w:rsid w:val="5A3B0749"/>
    <w:rsid w:val="5A5D046C"/>
    <w:rsid w:val="5A9650A1"/>
    <w:rsid w:val="5AA12AF6"/>
    <w:rsid w:val="5AD325CA"/>
    <w:rsid w:val="5AE4424C"/>
    <w:rsid w:val="5B01542B"/>
    <w:rsid w:val="5B3538D8"/>
    <w:rsid w:val="5B88216D"/>
    <w:rsid w:val="5B9B0E4B"/>
    <w:rsid w:val="5BEE75D9"/>
    <w:rsid w:val="5BF42158"/>
    <w:rsid w:val="5C013996"/>
    <w:rsid w:val="5C2C01DC"/>
    <w:rsid w:val="5C3942BD"/>
    <w:rsid w:val="5C5411D8"/>
    <w:rsid w:val="5CF74222"/>
    <w:rsid w:val="5D1D5C03"/>
    <w:rsid w:val="5D337249"/>
    <w:rsid w:val="5D530FE7"/>
    <w:rsid w:val="5D87651F"/>
    <w:rsid w:val="5DBF146B"/>
    <w:rsid w:val="5E0F60B1"/>
    <w:rsid w:val="5E1F0056"/>
    <w:rsid w:val="5E7D786B"/>
    <w:rsid w:val="5E9A60E7"/>
    <w:rsid w:val="5E9D755E"/>
    <w:rsid w:val="5EBA003B"/>
    <w:rsid w:val="5EE66482"/>
    <w:rsid w:val="5FB82473"/>
    <w:rsid w:val="5FF516A8"/>
    <w:rsid w:val="602E3B95"/>
    <w:rsid w:val="604A6791"/>
    <w:rsid w:val="604D387D"/>
    <w:rsid w:val="605B59B8"/>
    <w:rsid w:val="605E718A"/>
    <w:rsid w:val="60952414"/>
    <w:rsid w:val="60C253EF"/>
    <w:rsid w:val="60D80F17"/>
    <w:rsid w:val="60D84475"/>
    <w:rsid w:val="60EC39AD"/>
    <w:rsid w:val="60EE114C"/>
    <w:rsid w:val="61564461"/>
    <w:rsid w:val="615A5359"/>
    <w:rsid w:val="619B0AFB"/>
    <w:rsid w:val="61DD4664"/>
    <w:rsid w:val="61E11E81"/>
    <w:rsid w:val="62410803"/>
    <w:rsid w:val="62977B3F"/>
    <w:rsid w:val="62B561CE"/>
    <w:rsid w:val="62C1183B"/>
    <w:rsid w:val="62C53944"/>
    <w:rsid w:val="63935E5F"/>
    <w:rsid w:val="63AD64A6"/>
    <w:rsid w:val="647519F7"/>
    <w:rsid w:val="648D6F4F"/>
    <w:rsid w:val="64A337EB"/>
    <w:rsid w:val="64D511EA"/>
    <w:rsid w:val="64F93374"/>
    <w:rsid w:val="65007483"/>
    <w:rsid w:val="65012EF0"/>
    <w:rsid w:val="652341F0"/>
    <w:rsid w:val="65343016"/>
    <w:rsid w:val="654215C6"/>
    <w:rsid w:val="65E44122"/>
    <w:rsid w:val="65F17C26"/>
    <w:rsid w:val="669B2BD8"/>
    <w:rsid w:val="67456B1F"/>
    <w:rsid w:val="675370B0"/>
    <w:rsid w:val="67555994"/>
    <w:rsid w:val="679B3E58"/>
    <w:rsid w:val="67A624E1"/>
    <w:rsid w:val="67E124EF"/>
    <w:rsid w:val="68226DDF"/>
    <w:rsid w:val="6836628F"/>
    <w:rsid w:val="68546788"/>
    <w:rsid w:val="68625406"/>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A54025"/>
    <w:rsid w:val="6AC4522D"/>
    <w:rsid w:val="6B1104B4"/>
    <w:rsid w:val="6B362F75"/>
    <w:rsid w:val="6C04178A"/>
    <w:rsid w:val="6C11269F"/>
    <w:rsid w:val="6C2A5903"/>
    <w:rsid w:val="6C355466"/>
    <w:rsid w:val="6C4255C7"/>
    <w:rsid w:val="6D745F31"/>
    <w:rsid w:val="6D761B68"/>
    <w:rsid w:val="6DD46C2D"/>
    <w:rsid w:val="6E506F8F"/>
    <w:rsid w:val="6EAB5982"/>
    <w:rsid w:val="6EB22BCA"/>
    <w:rsid w:val="6EC84708"/>
    <w:rsid w:val="6F1572A0"/>
    <w:rsid w:val="6F3911E0"/>
    <w:rsid w:val="6FA55A7E"/>
    <w:rsid w:val="6FA74FF3"/>
    <w:rsid w:val="6FBD6F8D"/>
    <w:rsid w:val="6FD24C25"/>
    <w:rsid w:val="6FF05465"/>
    <w:rsid w:val="6FF41232"/>
    <w:rsid w:val="6FF92EFA"/>
    <w:rsid w:val="7048642E"/>
    <w:rsid w:val="70675C74"/>
    <w:rsid w:val="70741DA4"/>
    <w:rsid w:val="70B622DA"/>
    <w:rsid w:val="70C816C5"/>
    <w:rsid w:val="70D1632C"/>
    <w:rsid w:val="70DF707F"/>
    <w:rsid w:val="715E167E"/>
    <w:rsid w:val="718D136F"/>
    <w:rsid w:val="71B53214"/>
    <w:rsid w:val="71C97B84"/>
    <w:rsid w:val="72117F55"/>
    <w:rsid w:val="72533FE0"/>
    <w:rsid w:val="727A0BE5"/>
    <w:rsid w:val="72C23C67"/>
    <w:rsid w:val="73335F46"/>
    <w:rsid w:val="737B724B"/>
    <w:rsid w:val="737E3665"/>
    <w:rsid w:val="73804649"/>
    <w:rsid w:val="73E32199"/>
    <w:rsid w:val="7418624A"/>
    <w:rsid w:val="741C1A4E"/>
    <w:rsid w:val="749649DF"/>
    <w:rsid w:val="74A91A49"/>
    <w:rsid w:val="74A9247D"/>
    <w:rsid w:val="75166107"/>
    <w:rsid w:val="752E4D12"/>
    <w:rsid w:val="75361222"/>
    <w:rsid w:val="754356EA"/>
    <w:rsid w:val="755954E2"/>
    <w:rsid w:val="7575776E"/>
    <w:rsid w:val="757A60AE"/>
    <w:rsid w:val="75B415C0"/>
    <w:rsid w:val="75C103EF"/>
    <w:rsid w:val="75E15C9A"/>
    <w:rsid w:val="75E2704E"/>
    <w:rsid w:val="75F431FF"/>
    <w:rsid w:val="760C4FC0"/>
    <w:rsid w:val="764D77F8"/>
    <w:rsid w:val="766D10AA"/>
    <w:rsid w:val="767605BC"/>
    <w:rsid w:val="76D70A6A"/>
    <w:rsid w:val="77216F4A"/>
    <w:rsid w:val="7725049C"/>
    <w:rsid w:val="774748A0"/>
    <w:rsid w:val="774B06EA"/>
    <w:rsid w:val="775B1491"/>
    <w:rsid w:val="77A95037"/>
    <w:rsid w:val="77D446F7"/>
    <w:rsid w:val="77DE1B76"/>
    <w:rsid w:val="780B759D"/>
    <w:rsid w:val="781522C4"/>
    <w:rsid w:val="782D78AE"/>
    <w:rsid w:val="78406D92"/>
    <w:rsid w:val="786101C1"/>
    <w:rsid w:val="786A6017"/>
    <w:rsid w:val="789D5603"/>
    <w:rsid w:val="78C12D83"/>
    <w:rsid w:val="78CF0F6E"/>
    <w:rsid w:val="78E4686E"/>
    <w:rsid w:val="797F6A72"/>
    <w:rsid w:val="798B12FD"/>
    <w:rsid w:val="79A746B3"/>
    <w:rsid w:val="79D614B8"/>
    <w:rsid w:val="7B4E4990"/>
    <w:rsid w:val="7B8049A7"/>
    <w:rsid w:val="7BD30CC7"/>
    <w:rsid w:val="7BD563DA"/>
    <w:rsid w:val="7C6C4FDB"/>
    <w:rsid w:val="7C8F163B"/>
    <w:rsid w:val="7CAA0ADC"/>
    <w:rsid w:val="7D4B2583"/>
    <w:rsid w:val="7D587A9A"/>
    <w:rsid w:val="7DFD696E"/>
    <w:rsid w:val="7E0843C1"/>
    <w:rsid w:val="7E17093E"/>
    <w:rsid w:val="7EA00289"/>
    <w:rsid w:val="7EBB39E6"/>
    <w:rsid w:val="7F012530"/>
    <w:rsid w:val="7F0A7EBE"/>
    <w:rsid w:val="7F477001"/>
    <w:rsid w:val="7FA43DB5"/>
    <w:rsid w:val="7FAA2E4F"/>
    <w:rsid w:val="7FF268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qFormat/>
    <w:uiPriority w:val="0"/>
    <w:pPr>
      <w:keepNext/>
      <w:spacing w:before="240" w:after="60"/>
      <w:outlineLvl w:val="1"/>
    </w:pPr>
    <w:rPr>
      <w:rFonts w:ascii="Arial" w:hAnsi="Arial" w:eastAsia="黑体"/>
      <w:b/>
      <w:bCs/>
      <w:sz w:val="32"/>
      <w:szCs w:val="32"/>
    </w:rPr>
  </w:style>
  <w:style w:type="paragraph" w:styleId="4">
    <w:name w:val="heading 3"/>
    <w:basedOn w:val="1"/>
    <w:next w:val="1"/>
    <w:link w:val="25"/>
    <w:qFormat/>
    <w:uiPriority w:val="0"/>
    <w:pPr>
      <w:keepNext/>
      <w:spacing w:line="460" w:lineRule="exact"/>
      <w:outlineLvl w:val="2"/>
    </w:pPr>
    <w:rPr>
      <w:rFonts w:ascii="宋体" w:hAnsi="宋体"/>
      <w:b/>
      <w:bCs/>
      <w:sz w:val="3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ind w:firstLine="420"/>
    </w:pPr>
    <w:rPr>
      <w:rFonts w:cs="楷体_GB2312"/>
      <w:szCs w:val="20"/>
    </w:rPr>
  </w:style>
  <w:style w:type="paragraph" w:styleId="7">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8">
    <w:name w:val="annotation text"/>
    <w:basedOn w:val="1"/>
    <w:qFormat/>
    <w:uiPriority w:val="0"/>
  </w:style>
  <w:style w:type="paragraph" w:styleId="9">
    <w:name w:val="Body Text"/>
    <w:basedOn w:val="1"/>
    <w:next w:val="1"/>
    <w:link w:val="26"/>
    <w:unhideWhenUsed/>
    <w:qFormat/>
    <w:uiPriority w:val="99"/>
    <w:pPr>
      <w:spacing w:after="120"/>
    </w:pPr>
  </w:style>
  <w:style w:type="paragraph" w:styleId="10">
    <w:name w:val="Body Text Indent"/>
    <w:basedOn w:val="1"/>
    <w:unhideWhenUsed/>
    <w:qFormat/>
    <w:uiPriority w:val="99"/>
    <w:pPr>
      <w:spacing w:after="120"/>
      <w:ind w:left="420" w:leftChars="200"/>
    </w:pPr>
  </w:style>
  <w:style w:type="paragraph" w:styleId="11">
    <w:name w:val="Balloon Text"/>
    <w:basedOn w:val="1"/>
    <w:link w:val="27"/>
    <w:unhideWhenUsed/>
    <w:qFormat/>
    <w:uiPriority w:val="99"/>
    <w:pPr>
      <w:spacing w:line="240" w:lineRule="auto"/>
    </w:pPr>
    <w:rPr>
      <w:kern w:val="0"/>
      <w:sz w:val="18"/>
      <w:szCs w:val="18"/>
    </w:rPr>
  </w:style>
  <w:style w:type="paragraph" w:styleId="12">
    <w:name w:val="footer"/>
    <w:basedOn w:val="1"/>
    <w:link w:val="28"/>
    <w:unhideWhenUsed/>
    <w:qFormat/>
    <w:uiPriority w:val="0"/>
    <w:pPr>
      <w:tabs>
        <w:tab w:val="center" w:pos="4153"/>
        <w:tab w:val="right" w:pos="8306"/>
      </w:tabs>
      <w:snapToGrid w:val="0"/>
      <w:jc w:val="left"/>
    </w:pPr>
    <w:rPr>
      <w:kern w:val="0"/>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index heading"/>
    <w:basedOn w:val="1"/>
    <w:next w:val="15"/>
    <w:qFormat/>
    <w:uiPriority w:val="0"/>
    <w:pPr>
      <w:tabs>
        <w:tab w:val="decimal" w:pos="315"/>
        <w:tab w:val="left" w:pos="630"/>
      </w:tabs>
    </w:pPr>
    <w:rPr>
      <w:rFonts w:ascii="Times New Roman" w:hAnsi="Times New Roman"/>
      <w:szCs w:val="20"/>
    </w:rPr>
  </w:style>
  <w:style w:type="paragraph" w:styleId="15">
    <w:name w:val="index 1"/>
    <w:basedOn w:val="1"/>
    <w:next w:val="1"/>
    <w:qFormat/>
    <w:uiPriority w:val="0"/>
    <w:pPr>
      <w:tabs>
        <w:tab w:val="decimal" w:pos="315"/>
        <w:tab w:val="left" w:pos="630"/>
      </w:tabs>
    </w:pPr>
  </w:style>
  <w:style w:type="paragraph" w:styleId="16">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7">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18">
    <w:name w:val="Body Text First Indent"/>
    <w:basedOn w:val="1"/>
    <w:link w:val="31"/>
    <w:qFormat/>
    <w:uiPriority w:val="0"/>
    <w:pPr>
      <w:widowControl/>
      <w:spacing w:before="100" w:beforeAutospacing="1" w:after="100" w:afterAutospacing="1" w:line="360" w:lineRule="auto"/>
      <w:jc w:val="left"/>
    </w:pPr>
    <w:rPr>
      <w:rFonts w:ascii="宋体" w:hAnsi="宋体" w:eastAsia="华文新魏"/>
      <w:sz w:val="24"/>
    </w:rPr>
  </w:style>
  <w:style w:type="paragraph" w:styleId="19">
    <w:name w:val="Body Text First Indent 2"/>
    <w:basedOn w:val="10"/>
    <w:unhideWhenUsed/>
    <w:qFormat/>
    <w:uiPriority w:val="99"/>
    <w:pPr>
      <w:spacing w:after="0" w:line="360" w:lineRule="auto"/>
      <w:ind w:left="0" w:leftChars="0"/>
      <w:jc w:val="both"/>
    </w:pPr>
  </w:style>
  <w:style w:type="table" w:styleId="21">
    <w:name w:val="Table Grid"/>
    <w:basedOn w:val="20"/>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unhideWhenUsed/>
    <w:qFormat/>
    <w:uiPriority w:val="99"/>
    <w:rPr>
      <w:color w:val="313346"/>
      <w:u w:val="none"/>
    </w:rPr>
  </w:style>
  <w:style w:type="character" w:customStyle="1" w:styleId="25">
    <w:name w:val="标题 3 字符"/>
    <w:link w:val="4"/>
    <w:qFormat/>
    <w:uiPriority w:val="0"/>
    <w:rPr>
      <w:rFonts w:ascii="宋体" w:hAnsi="宋体"/>
      <w:b/>
      <w:bCs/>
      <w:kern w:val="2"/>
      <w:sz w:val="30"/>
      <w:szCs w:val="24"/>
    </w:rPr>
  </w:style>
  <w:style w:type="character" w:customStyle="1" w:styleId="26">
    <w:name w:val="正文文本 字符"/>
    <w:link w:val="9"/>
    <w:semiHidden/>
    <w:qFormat/>
    <w:uiPriority w:val="99"/>
    <w:rPr>
      <w:kern w:val="2"/>
      <w:sz w:val="21"/>
      <w:szCs w:val="24"/>
    </w:rPr>
  </w:style>
  <w:style w:type="character" w:customStyle="1" w:styleId="27">
    <w:name w:val="批注框文本 字符"/>
    <w:link w:val="11"/>
    <w:semiHidden/>
    <w:qFormat/>
    <w:uiPriority w:val="99"/>
    <w:rPr>
      <w:sz w:val="18"/>
      <w:szCs w:val="18"/>
    </w:rPr>
  </w:style>
  <w:style w:type="character" w:customStyle="1" w:styleId="28">
    <w:name w:val="页脚 字符"/>
    <w:link w:val="12"/>
    <w:qFormat/>
    <w:uiPriority w:val="0"/>
    <w:rPr>
      <w:sz w:val="18"/>
      <w:szCs w:val="18"/>
    </w:rPr>
  </w:style>
  <w:style w:type="character" w:customStyle="1" w:styleId="29">
    <w:name w:val="页眉 字符"/>
    <w:link w:val="13"/>
    <w:qFormat/>
    <w:uiPriority w:val="99"/>
    <w:rPr>
      <w:sz w:val="18"/>
      <w:szCs w:val="18"/>
    </w:rPr>
  </w:style>
  <w:style w:type="character" w:customStyle="1" w:styleId="30">
    <w:name w:val="HTML 预设格式 字符"/>
    <w:link w:val="16"/>
    <w:qFormat/>
    <w:uiPriority w:val="99"/>
    <w:rPr>
      <w:rFonts w:ascii="宋体" w:hAnsi="宋体" w:cs="宋体"/>
      <w:sz w:val="24"/>
      <w:szCs w:val="24"/>
    </w:rPr>
  </w:style>
  <w:style w:type="character" w:customStyle="1" w:styleId="31">
    <w:name w:val="正文文本首行缩进 字符"/>
    <w:link w:val="18"/>
    <w:qFormat/>
    <w:uiPriority w:val="0"/>
    <w:rPr>
      <w:rFonts w:ascii="宋体" w:hAnsi="宋体" w:eastAsia="华文新魏"/>
      <w:kern w:val="2"/>
      <w:sz w:val="24"/>
      <w:szCs w:val="24"/>
    </w:rPr>
  </w:style>
  <w:style w:type="character" w:customStyle="1" w:styleId="32">
    <w:name w:val="style91"/>
    <w:qFormat/>
    <w:uiPriority w:val="0"/>
    <w:rPr>
      <w:color w:val="000000"/>
    </w:rPr>
  </w:style>
  <w:style w:type="paragraph" w:customStyle="1" w:styleId="33">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4">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5">
    <w:name w:val="B"/>
    <w:basedOn w:val="9"/>
    <w:qFormat/>
    <w:uiPriority w:val="1"/>
    <w:pPr>
      <w:ind w:left="0" w:firstLine="480" w:firstLineChars="200"/>
    </w:pPr>
    <w:rPr>
      <w:sz w:val="24"/>
      <w:szCs w:val="24"/>
      <w:lang w:eastAsia="zh-CN"/>
    </w:rPr>
  </w:style>
  <w:style w:type="paragraph" w:customStyle="1" w:styleId="36">
    <w:name w:val="null3"/>
    <w:qFormat/>
    <w:uiPriority w:val="0"/>
    <w:rPr>
      <w:rFonts w:hint="eastAsia" w:ascii="Calibri" w:hAnsi="Calibri" w:eastAsia="宋体" w:cs="Times New Roman"/>
      <w:lang w:val="en-US" w:eastAsia="zh-Hans" w:bidi="ar-SA"/>
    </w:rPr>
  </w:style>
  <w:style w:type="paragraph" w:styleId="37">
    <w:name w:val="List Paragraph"/>
    <w:basedOn w:val="1"/>
    <w:qFormat/>
    <w:uiPriority w:val="34"/>
    <w:pPr>
      <w:spacing w:line="240" w:lineRule="auto"/>
      <w:ind w:firstLine="420" w:firstLineChars="200"/>
    </w:pPr>
    <w:rPr>
      <w:szCs w:val="22"/>
    </w:rPr>
  </w:style>
  <w:style w:type="paragraph" w:customStyle="1" w:styleId="38">
    <w:name w:val="题注5"/>
    <w:basedOn w:val="1"/>
    <w:next w:val="7"/>
    <w:qFormat/>
    <w:uiPriority w:val="0"/>
    <w:pPr>
      <w:tabs>
        <w:tab w:val="decimal" w:pos="315"/>
        <w:tab w:val="left" w:pos="630"/>
      </w:tabs>
      <w:jc w:val="center"/>
    </w:pPr>
    <w:rPr>
      <w:rFonts w:ascii="Times New Roman" w:hAnsi="Times New Roman"/>
      <w:b/>
      <w:color w:val="000000"/>
      <w:sz w:val="24"/>
      <w:szCs w:val="21"/>
    </w:rPr>
  </w:style>
  <w:style w:type="paragraph" w:customStyle="1" w:styleId="39">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表格文字"/>
    <w:basedOn w:val="1"/>
    <w:next w:val="9"/>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3">
    <w:name w:val="Table Paragraph"/>
    <w:basedOn w:val="1"/>
    <w:next w:val="1"/>
    <w:qFormat/>
    <w:uiPriority w:val="0"/>
    <w:pPr>
      <w:spacing w:line="360" w:lineRule="auto"/>
    </w:pPr>
  </w:style>
  <w:style w:type="paragraph" w:customStyle="1" w:styleId="44">
    <w:name w:val="Table Text"/>
    <w:basedOn w:val="1"/>
    <w:semiHidden/>
    <w:qFormat/>
    <w:uiPriority w:val="0"/>
    <w:rPr>
      <w:rFonts w:ascii="宋体" w:hAnsi="宋体" w:eastAsia="宋体" w:cs="宋体"/>
      <w:sz w:val="24"/>
      <w:szCs w:val="24"/>
      <w:lang w:val="en-US" w:eastAsia="en-US" w:bidi="ar-SA"/>
    </w:rPr>
  </w:style>
  <w:style w:type="table" w:customStyle="1" w:styleId="45">
    <w:name w:val="Table Normal"/>
    <w:unhideWhenUsed/>
    <w:qFormat/>
    <w:uiPriority w:val="2"/>
    <w:tblPr>
      <w:tblCellMar>
        <w:top w:w="0" w:type="dxa"/>
        <w:left w:w="0" w:type="dxa"/>
        <w:bottom w:w="0" w:type="dxa"/>
        <w:right w:w="0" w:type="dxa"/>
      </w:tblCellMar>
    </w:tblPr>
  </w:style>
  <w:style w:type="character" w:customStyle="1" w:styleId="46">
    <w:name w:val="NormalCharacter"/>
    <w:link w:val="47"/>
    <w:qFormat/>
    <w:uiPriority w:val="0"/>
    <w:rPr>
      <w:rFonts w:ascii="Times New Roman" w:hAnsi="Times New Roman" w:eastAsia="宋体" w:cs="Times New Roman"/>
      <w:kern w:val="0"/>
      <w:sz w:val="20"/>
      <w:szCs w:val="20"/>
    </w:rPr>
  </w:style>
  <w:style w:type="paragraph" w:customStyle="1" w:styleId="47">
    <w:name w:val="UserStyle_3"/>
    <w:basedOn w:val="1"/>
    <w:link w:val="46"/>
    <w:qFormat/>
    <w:uiPriority w:val="0"/>
    <w:pPr>
      <w:spacing w:after="160" w:line="240" w:lineRule="exact"/>
      <w:jc w:val="left"/>
    </w:pPr>
    <w:rPr>
      <w:rFonts w:ascii="Times New Roman" w:hAnsi="Times New Roman" w:eastAsia="宋体" w:cs="Times New Roman"/>
      <w:kern w:val="0"/>
      <w:sz w:val="20"/>
      <w:szCs w:val="20"/>
    </w:rPr>
  </w:style>
  <w:style w:type="paragraph" w:customStyle="1" w:styleId="48">
    <w:name w:val="Heading3"/>
    <w:basedOn w:val="1"/>
    <w:next w:val="1"/>
    <w:qFormat/>
    <w:uiPriority w:val="0"/>
    <w:pPr>
      <w:keepNext/>
      <w:spacing w:before="240" w:after="60"/>
      <w:jc w:val="left"/>
    </w:pPr>
    <w:rPr>
      <w:rFonts w:ascii="Cambria" w:hAnsi="Cambria" w:cs="Times New Roman"/>
      <w:b/>
      <w:bCs/>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2197</Words>
  <Characters>2230</Characters>
  <Lines>102</Lines>
  <Paragraphs>28</Paragraphs>
  <TotalTime>30</TotalTime>
  <ScaleCrop>false</ScaleCrop>
  <LinksUpToDate>false</LinksUpToDate>
  <CharactersWithSpaces>2230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2026-07-17T08:30:51Z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