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w:t>
      </w:r>
      <w:r>
        <w:rPr>
          <w:rFonts w:hint="eastAsia" w:ascii="微软雅黑" w:hAnsi="微软雅黑" w:eastAsia="微软雅黑" w:cs="微软雅黑"/>
          <w:b/>
          <w:sz w:val="52"/>
          <w:szCs w:val="52"/>
          <w:highlight w:val="none"/>
          <w:lang w:val="en-US" w:eastAsia="zh-CN"/>
        </w:rPr>
        <w:t>遴选</w:t>
      </w:r>
      <w:r>
        <w:rPr>
          <w:rFonts w:hint="eastAsia" w:ascii="微软雅黑" w:hAnsi="微软雅黑" w:eastAsia="微软雅黑" w:cs="微软雅黑"/>
          <w:b/>
          <w:sz w:val="52"/>
          <w:szCs w:val="52"/>
          <w:highlight w:val="none"/>
        </w:rPr>
        <w:t>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-LX</w:t>
      </w:r>
      <w:r>
        <w:rPr>
          <w:rFonts w:hint="eastAsia" w:ascii="宋体" w:hAnsi="宋体"/>
          <w:b/>
          <w:bCs/>
          <w:sz w:val="36"/>
          <w:szCs w:val="36"/>
          <w:highlight w:val="none"/>
        </w:rPr>
        <w:t>00</w:t>
      </w:r>
      <w:r>
        <w:rPr>
          <w:rFonts w:hint="eastAsia" w:ascii="宋体" w:hAnsi="宋体"/>
          <w:b/>
          <w:bCs/>
          <w:sz w:val="36"/>
          <w:szCs w:val="36"/>
          <w:highlight w:val="none"/>
          <w:lang w:val="en-US" w:eastAsia="zh-CN"/>
        </w:rPr>
        <w:t>3</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default" w:ascii="宋体" w:hAnsi="宋体" w:eastAsia="宋体"/>
          <w:b/>
          <w:bCs/>
          <w:sz w:val="36"/>
          <w:szCs w:val="36"/>
          <w:highlight w:val="none"/>
          <w:lang w:val="en-US" w:eastAsia="zh-CN"/>
        </w:rPr>
      </w:pPr>
      <w:r>
        <w:rPr>
          <w:rFonts w:hint="eastAsia" w:ascii="宋体" w:hAnsi="宋体"/>
          <w:b/>
          <w:bCs/>
          <w:sz w:val="36"/>
          <w:szCs w:val="36"/>
          <w:highlight w:val="none"/>
          <w:lang w:val="en-US" w:eastAsia="zh-CN"/>
        </w:rPr>
        <w:t>遴选</w:t>
      </w:r>
      <w:r>
        <w:rPr>
          <w:rFonts w:hint="eastAsia" w:ascii="宋体" w:hAnsi="宋体"/>
          <w:b/>
          <w:bCs/>
          <w:sz w:val="36"/>
          <w:szCs w:val="36"/>
          <w:highlight w:val="none"/>
        </w:rPr>
        <w:t>项目名称：</w:t>
      </w:r>
      <w:r>
        <w:rPr>
          <w:rFonts w:hint="eastAsia" w:ascii="宋体" w:hAnsi="宋体"/>
          <w:b/>
          <w:bCs/>
          <w:sz w:val="36"/>
          <w:szCs w:val="36"/>
          <w:highlight w:val="none"/>
          <w:lang w:eastAsia="zh-CN"/>
        </w:rPr>
        <w:t>中山市中医院全自动化学发光分析仪项目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7</w:t>
      </w:r>
      <w:r>
        <w:rPr>
          <w:rFonts w:hint="eastAsia" w:ascii="宋体" w:hAnsi="宋体"/>
          <w:sz w:val="30"/>
          <w:szCs w:val="30"/>
          <w:highlight w:val="none"/>
        </w:rPr>
        <w:t>月</w:t>
      </w:r>
      <w:r>
        <w:rPr>
          <w:rFonts w:hint="eastAsia" w:ascii="宋体" w:hAnsi="宋体"/>
          <w:sz w:val="30"/>
          <w:szCs w:val="30"/>
          <w:highlight w:val="none"/>
          <w:lang w:val="en-US" w:eastAsia="zh-CN"/>
        </w:rPr>
        <w:t>17日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w:t>
      </w:r>
      <w:r>
        <w:rPr>
          <w:rFonts w:hint="eastAsia" w:ascii="宋体" w:hAnsi="宋体"/>
          <w:b/>
          <w:sz w:val="44"/>
          <w:szCs w:val="44"/>
          <w:highlight w:val="none"/>
          <w:lang w:val="en-US" w:eastAsia="zh-CN"/>
        </w:rPr>
        <w:t>遴选</w:t>
      </w:r>
      <w:r>
        <w:rPr>
          <w:rFonts w:hint="eastAsia" w:ascii="宋体" w:hAnsi="宋体"/>
          <w:b/>
          <w:sz w:val="44"/>
          <w:szCs w:val="44"/>
          <w:highlight w:val="none"/>
        </w:rPr>
        <w:t>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遴选</w:t>
      </w:r>
      <w:r>
        <w:rPr>
          <w:rFonts w:hint="eastAsia" w:ascii="宋体" w:hAnsi="宋体"/>
          <w:b/>
          <w:sz w:val="28"/>
          <w:szCs w:val="28"/>
          <w:highlight w:val="none"/>
        </w:rPr>
        <w:t>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管理关系的不同供应商，不得同时参加本遴选项目（或采购包）响应。为本项目提供整体设计、规范编制或者项目管理、监理、检测等服务的供应商，不得再参与本项目响应。按</w:t>
      </w:r>
      <w:r>
        <w:rPr>
          <w:rFonts w:hint="eastAsia" w:cs="Tahoma"/>
          <w:color w:val="000000"/>
          <w:kern w:val="28"/>
          <w:szCs w:val="24"/>
          <w:highlight w:val="none"/>
          <w:lang w:val="en-US" w:eastAsia="zh-CN"/>
        </w:rPr>
        <w:t>遴选文件</w:t>
      </w:r>
      <w:r>
        <w:rPr>
          <w:rFonts w:hint="eastAsia" w:cs="Tahoma"/>
          <w:color w:val="000000"/>
          <w:kern w:val="28"/>
          <w:szCs w:val="24"/>
          <w:highlight w:val="none"/>
          <w:lang w:eastAsia="zh-CN"/>
        </w:rPr>
        <w:t>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10615" w:type="dxa"/>
        <w:tblInd w:w="-8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50"/>
        <w:gridCol w:w="2250"/>
        <w:gridCol w:w="7415"/>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6" w:hRule="atLeast"/>
        </w:trPr>
        <w:tc>
          <w:tcPr>
            <w:tcW w:w="950"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9665"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950" w:type="dxa"/>
            <w:noWrap w:val="0"/>
            <w:vAlign w:val="center"/>
          </w:tcPr>
          <w:p w14:paraId="58EDA0B6">
            <w:pPr>
              <w:pStyle w:val="43"/>
              <w:numPr>
                <w:ilvl w:val="0"/>
                <w:numId w:val="1"/>
              </w:numPr>
              <w:jc w:val="center"/>
              <w:rPr>
                <w:szCs w:val="21"/>
                <w:highlight w:val="none"/>
              </w:rPr>
            </w:pPr>
          </w:p>
        </w:tc>
        <w:tc>
          <w:tcPr>
            <w:tcW w:w="2250"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7415"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04B463EB">
            <w:pPr>
              <w:pStyle w:val="43"/>
              <w:numPr>
                <w:ilvl w:val="0"/>
                <w:numId w:val="1"/>
              </w:numPr>
              <w:jc w:val="center"/>
              <w:rPr>
                <w:szCs w:val="21"/>
                <w:highlight w:val="none"/>
              </w:rPr>
            </w:pPr>
          </w:p>
        </w:tc>
        <w:tc>
          <w:tcPr>
            <w:tcW w:w="2250"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7415"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950" w:type="dxa"/>
            <w:noWrap w:val="0"/>
            <w:vAlign w:val="center"/>
          </w:tcPr>
          <w:p w14:paraId="63EE65A4">
            <w:pPr>
              <w:pStyle w:val="43"/>
              <w:numPr>
                <w:ilvl w:val="0"/>
                <w:numId w:val="1"/>
              </w:numPr>
              <w:jc w:val="center"/>
              <w:rPr>
                <w:szCs w:val="21"/>
                <w:highlight w:val="none"/>
              </w:rPr>
            </w:pPr>
          </w:p>
        </w:tc>
        <w:tc>
          <w:tcPr>
            <w:tcW w:w="2250"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7415"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346831C9">
            <w:pPr>
              <w:pStyle w:val="43"/>
              <w:numPr>
                <w:ilvl w:val="0"/>
                <w:numId w:val="1"/>
              </w:numPr>
              <w:jc w:val="center"/>
              <w:rPr>
                <w:szCs w:val="21"/>
                <w:highlight w:val="none"/>
              </w:rPr>
            </w:pPr>
          </w:p>
        </w:tc>
        <w:tc>
          <w:tcPr>
            <w:tcW w:w="2250"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7415"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单位负责人为同一人或者存在直接控股、管理关系的不同供应商，不得同时参加本</w:t>
            </w:r>
            <w:r>
              <w:rPr>
                <w:rFonts w:hint="eastAsia"/>
                <w:bCs/>
                <w:szCs w:val="21"/>
                <w:highlight w:val="none"/>
                <w:lang w:eastAsia="zh-CN"/>
              </w:rPr>
              <w:t>遴选项目</w:t>
            </w:r>
            <w:r>
              <w:rPr>
                <w:rFonts w:hint="eastAsia"/>
                <w:bCs/>
                <w:szCs w:val="21"/>
                <w:highlight w:val="none"/>
              </w:rPr>
              <w:t>（或采购包）响应。为本项目提供整体设计、规范编制或者项目管理、监理、检测等服务的供应商，不得再参与本项目响应。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75F469B2">
            <w:pPr>
              <w:pStyle w:val="43"/>
              <w:numPr>
                <w:ilvl w:val="0"/>
                <w:numId w:val="1"/>
              </w:numPr>
              <w:jc w:val="center"/>
              <w:rPr>
                <w:szCs w:val="21"/>
                <w:highlight w:val="none"/>
              </w:rPr>
            </w:pPr>
          </w:p>
        </w:tc>
        <w:tc>
          <w:tcPr>
            <w:tcW w:w="2250"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7415"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（填写《无违法违纪行为承诺书》，模板参考本文件格式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50" w:type="dxa"/>
            <w:noWrap w:val="0"/>
            <w:vAlign w:val="center"/>
          </w:tcPr>
          <w:p w14:paraId="460FB3FE">
            <w:pPr>
              <w:pStyle w:val="43"/>
              <w:numPr>
                <w:ilvl w:val="0"/>
                <w:numId w:val="1"/>
              </w:numPr>
              <w:jc w:val="center"/>
              <w:rPr>
                <w:szCs w:val="21"/>
                <w:highlight w:val="none"/>
              </w:rPr>
            </w:pPr>
          </w:p>
        </w:tc>
        <w:tc>
          <w:tcPr>
            <w:tcW w:w="2250"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7415"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w:t>
            </w:r>
            <w:r>
              <w:rPr>
                <w:rFonts w:hint="eastAsia" w:cs="Tahoma"/>
                <w:color w:val="000000"/>
                <w:kern w:val="28"/>
                <w:sz w:val="21"/>
                <w:szCs w:val="24"/>
                <w:highlight w:val="none"/>
                <w:lang w:val="en-US" w:eastAsia="zh-CN" w:bidi="ar-SA"/>
              </w:rPr>
              <w:t>成交</w:t>
            </w:r>
            <w:r>
              <w:rPr>
                <w:rFonts w:hint="eastAsia" w:ascii="Times New Roman" w:hAnsi="Times New Roman" w:eastAsia="宋体" w:cs="Tahoma"/>
                <w:color w:val="000000"/>
                <w:kern w:val="28"/>
                <w:sz w:val="21"/>
                <w:szCs w:val="24"/>
                <w:highlight w:val="none"/>
                <w:lang w:val="en-US" w:eastAsia="zh-CN" w:bidi="ar-SA"/>
              </w:rPr>
              <w:t>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w:t>
            </w:r>
            <w:r>
              <w:rPr>
                <w:rFonts w:hint="eastAsia" w:cs="Tahoma"/>
                <w:color w:val="000000"/>
                <w:kern w:val="28"/>
                <w:sz w:val="21"/>
                <w:szCs w:val="24"/>
                <w:highlight w:val="none"/>
                <w:lang w:val="en-US" w:eastAsia="zh-CN" w:bidi="ar-SA"/>
              </w:rPr>
              <w:t>成交</w:t>
            </w:r>
            <w:r>
              <w:rPr>
                <w:rFonts w:hint="eastAsia" w:ascii="Times New Roman" w:hAnsi="Times New Roman" w:eastAsia="宋体" w:cs="Tahoma"/>
                <w:color w:val="000000"/>
                <w:kern w:val="28"/>
                <w:sz w:val="21"/>
                <w:szCs w:val="24"/>
                <w:highlight w:val="none"/>
                <w:lang w:val="en-US" w:eastAsia="zh-CN" w:bidi="ar-SA"/>
              </w:rPr>
              <w:t>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w:t>
            </w:r>
            <w:r>
              <w:rPr>
                <w:rFonts w:hint="eastAsia" w:cs="Times New Roman"/>
                <w:bCs/>
                <w:szCs w:val="21"/>
                <w:highlight w:val="none"/>
                <w:lang w:val="en-US" w:eastAsia="zh-CN"/>
              </w:rPr>
              <w:t>项目</w:t>
            </w:r>
            <w:r>
              <w:rPr>
                <w:rFonts w:hint="eastAsia" w:ascii="Times New Roman" w:hAnsi="Times New Roman" w:eastAsia="宋体" w:cs="Times New Roman"/>
                <w:bCs/>
                <w:szCs w:val="21"/>
                <w:highlight w:val="none"/>
                <w:lang w:val="en-US" w:eastAsia="zh-CN"/>
              </w:rPr>
              <w:t>需求”要求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59DD235">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203716B5">
      <w:pPr>
        <w:spacing w:line="360" w:lineRule="auto"/>
        <w:jc w:val="center"/>
        <w:rPr>
          <w:rFonts w:hint="eastAsia" w:ascii="宋体" w:hAnsi="宋体" w:eastAsia="宋体" w:cs="Times New Roman"/>
          <w:b/>
          <w:sz w:val="36"/>
          <w:szCs w:val="36"/>
          <w:highlight w:val="none"/>
          <w:lang w:val="en-US" w:eastAsia="zh-CN"/>
        </w:rPr>
      </w:pPr>
    </w:p>
    <w:p w14:paraId="57F3896D">
      <w:pPr>
        <w:spacing w:line="360" w:lineRule="auto"/>
        <w:jc w:val="center"/>
        <w:rPr>
          <w:rFonts w:hint="eastAsia" w:ascii="宋体" w:hAnsi="宋体" w:eastAsia="宋体" w:cs="Times New Roman"/>
          <w:b/>
          <w:sz w:val="36"/>
          <w:szCs w:val="36"/>
          <w:highlight w:val="none"/>
          <w:lang w:val="en-US" w:eastAsia="zh-CN"/>
        </w:rPr>
      </w:pPr>
    </w:p>
    <w:p w14:paraId="1FA7FE03">
      <w:pPr>
        <w:spacing w:line="360" w:lineRule="auto"/>
        <w:jc w:val="center"/>
        <w:rPr>
          <w:rFonts w:hint="eastAsia" w:ascii="宋体" w:hAnsi="宋体" w:eastAsia="宋体" w:cs="Times New Roman"/>
          <w:b/>
          <w:sz w:val="36"/>
          <w:szCs w:val="36"/>
          <w:highlight w:val="none"/>
          <w:lang w:val="en-US" w:eastAsia="zh-CN"/>
        </w:rPr>
      </w:pPr>
    </w:p>
    <w:p w14:paraId="7AAD0DE6">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63850602">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w:t>
            </w:r>
            <w:r>
              <w:rPr>
                <w:rFonts w:hint="eastAsia" w:cs="Tahoma"/>
                <w:color w:val="000000"/>
                <w:kern w:val="28"/>
                <w:szCs w:val="24"/>
                <w:highlight w:val="none"/>
                <w:lang w:val="en-US" w:eastAsia="zh-CN"/>
              </w:rPr>
              <w:t>按照公告附件2：遴选项目文件封面</w:t>
            </w:r>
            <w:r>
              <w:rPr>
                <w:rFonts w:hint="eastAsia" w:cs="Tahoma"/>
                <w:color w:val="000000"/>
                <w:kern w:val="28"/>
                <w:szCs w:val="24"/>
                <w:highlight w:val="none"/>
              </w:rPr>
              <w:t>）</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w:t>
            </w:r>
            <w:r>
              <w:rPr>
                <w:rFonts w:hint="eastAsia" w:cs="Tahoma"/>
                <w:color w:val="000000"/>
                <w:kern w:val="28"/>
                <w:szCs w:val="24"/>
                <w:lang w:val="en-US" w:eastAsia="zh-CN"/>
              </w:rPr>
              <w:t>技术</w:t>
            </w:r>
            <w:r>
              <w:rPr>
                <w:rFonts w:hint="eastAsia" w:cs="Tahoma"/>
                <w:color w:val="000000"/>
                <w:kern w:val="28"/>
                <w:szCs w:val="24"/>
              </w:rPr>
              <w:t>需求响应表》（参考格式四：</w:t>
            </w:r>
            <w:r>
              <w:rPr>
                <w:rFonts w:hint="eastAsia" w:cs="Tahoma"/>
                <w:color w:val="000000"/>
                <w:kern w:val="28"/>
                <w:szCs w:val="24"/>
                <w:lang w:val="en-US" w:eastAsia="zh-CN"/>
              </w:rPr>
              <w:t>技术</w:t>
            </w:r>
            <w:r>
              <w:rPr>
                <w:rFonts w:hint="eastAsia" w:cs="Tahoma"/>
                <w:color w:val="000000"/>
                <w:kern w:val="28"/>
                <w:szCs w:val="24"/>
              </w:rPr>
              <w:t>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w:t>
            </w:r>
            <w:r>
              <w:rPr>
                <w:rFonts w:hint="eastAsia" w:cs="Tahoma"/>
                <w:color w:val="000000"/>
                <w:kern w:val="28"/>
                <w:szCs w:val="24"/>
                <w:highlight w:val="none"/>
                <w:lang w:val="en-US" w:eastAsia="zh-CN"/>
              </w:rPr>
              <w:t>项目实施方</w:t>
            </w:r>
            <w:r>
              <w:rPr>
                <w:rFonts w:hint="eastAsia" w:ascii="宋体" w:hAnsi="Times New Roman" w:eastAsia="宋体" w:cs="Tahoma"/>
                <w:color w:val="000000"/>
                <w:kern w:val="28"/>
                <w:szCs w:val="24"/>
                <w:highlight w:val="none"/>
                <w:lang w:val="en-US" w:eastAsia="zh-CN"/>
              </w:rPr>
              <w:t>案（配送响应时间、配送产品效期时长（精确到月份）、退换货方案）</w:t>
            </w:r>
            <w:r>
              <w:rPr>
                <w:rFonts w:hint="eastAsia" w:ascii="宋体" w:hAnsi="Times New Roman" w:eastAsia="宋体" w:cs="Tahoma"/>
                <w:color w:val="000000"/>
                <w:kern w:val="28"/>
                <w:szCs w:val="24"/>
                <w:highlight w:val="none"/>
              </w:rPr>
              <w:t>、供</w:t>
            </w:r>
            <w:r>
              <w:rPr>
                <w:rFonts w:hint="eastAsia" w:cs="Tahoma"/>
                <w:color w:val="000000"/>
                <w:kern w:val="28"/>
                <w:szCs w:val="24"/>
                <w:highlight w:val="none"/>
              </w:rPr>
              <w:t>货</w:t>
            </w:r>
            <w:r>
              <w:rPr>
                <w:rFonts w:hint="eastAsia" w:cs="Tahoma"/>
                <w:color w:val="000000"/>
                <w:kern w:val="28"/>
                <w:szCs w:val="24"/>
                <w:highlight w:val="none"/>
                <w:lang w:val="en-US" w:eastAsia="zh-CN"/>
              </w:rPr>
              <w:t>配送</w:t>
            </w:r>
            <w:r>
              <w:rPr>
                <w:rFonts w:cs="Tahoma"/>
                <w:color w:val="000000"/>
                <w:kern w:val="28"/>
                <w:szCs w:val="24"/>
                <w:highlight w:val="none"/>
              </w:rPr>
              <w:t>时间、</w:t>
            </w:r>
            <w:r>
              <w:rPr>
                <w:rFonts w:hint="eastAsia" w:cs="Tahoma"/>
                <w:color w:val="000000"/>
                <w:kern w:val="28"/>
                <w:szCs w:val="24"/>
                <w:highlight w:val="none"/>
              </w:rPr>
              <w:t>项目验收方案、人员安排等。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ascii="宋体" w:hAnsi="Times New Roman" w:eastAsia="宋体" w:cs="Tahoma"/>
                <w:color w:val="000000"/>
                <w:kern w:val="28"/>
                <w:szCs w:val="24"/>
                <w:highlight w:val="none"/>
                <w:lang w:val="en-US" w:eastAsia="zh-CN"/>
              </w:rPr>
              <w:t>售后服务方案（应急备货保证方案、质量问题反馈响应时间、到场处理响应时间）</w:t>
            </w:r>
            <w:r>
              <w:rPr>
                <w:rFonts w:hint="eastAsia" w:ascii="宋体" w:hAnsi="Times New Roman" w:eastAsia="宋体" w:cs="Tahoma"/>
                <w:color w:val="000000"/>
                <w:kern w:val="28"/>
                <w:szCs w:val="24"/>
                <w:highlight w:val="none"/>
              </w:rPr>
              <w:t>、承诺书。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（可参考格式六《供应商资格信用承诺函》填写）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（参考格式六《供应商资格信用承诺函》填写）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（参考格式六《供应商资格信用承诺函》填写）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r>
              <w:rPr>
                <w:rFonts w:hint="eastAsia" w:cs="Tahoma"/>
                <w:color w:val="000000"/>
                <w:kern w:val="28"/>
                <w:sz w:val="24"/>
                <w:lang w:val="en-US" w:eastAsia="zh-CN"/>
              </w:rPr>
              <w:t>（如有）</w:t>
            </w:r>
            <w:r>
              <w:rPr>
                <w:rFonts w:hint="eastAsia" w:ascii="Times New Roman" w:hAnsi="Times New Roman" w:eastAsia="宋体" w:cs="Tahoma"/>
                <w:color w:val="000000"/>
                <w:kern w:val="28"/>
                <w:sz w:val="24"/>
                <w:lang w:val="en-US" w:eastAsia="zh-CN"/>
              </w:rPr>
              <w:t>。</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w:t>
      </w:r>
      <w:r>
        <w:rPr>
          <w:rFonts w:hint="eastAsia" w:cs="Tahoma"/>
          <w:kern w:val="28"/>
          <w:szCs w:val="24"/>
          <w:highlight w:val="none"/>
          <w:lang w:val="en-US" w:eastAsia="zh-CN"/>
        </w:rPr>
        <w:t>遴选</w:t>
      </w:r>
      <w:r>
        <w:rPr>
          <w:rFonts w:hint="eastAsia" w:cs="Tahoma"/>
          <w:kern w:val="28"/>
          <w:szCs w:val="24"/>
          <w:highlight w:val="none"/>
        </w:rPr>
        <w:t>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bookmarkStart w:id="5" w:name="_GoBack"/>
      <w:bookmarkEnd w:id="5"/>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yellow"/>
        </w:rPr>
      </w:pPr>
      <w:r>
        <w:rPr>
          <w:rFonts w:hint="eastAsia" w:cs="Tahoma"/>
          <w:b/>
          <w:bCs/>
          <w:color w:val="000000"/>
          <w:kern w:val="28"/>
          <w:szCs w:val="24"/>
          <w:highlight w:val="yellow"/>
        </w:rPr>
        <w:t>报名截止时间：202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17</w:t>
      </w:r>
      <w:r>
        <w:rPr>
          <w:rFonts w:hint="eastAsia" w:cs="Tahoma"/>
          <w:b/>
          <w:bCs/>
          <w:color w:val="000000"/>
          <w:kern w:val="28"/>
          <w:szCs w:val="24"/>
          <w:highlight w:val="yellow"/>
        </w:rPr>
        <w:t>日至202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21</w:t>
      </w:r>
      <w:r>
        <w:rPr>
          <w:rFonts w:hint="eastAsia" w:cs="Tahoma"/>
          <w:b/>
          <w:bCs/>
          <w:color w:val="000000"/>
          <w:kern w:val="28"/>
          <w:szCs w:val="24"/>
          <w:highlight w:val="yellow"/>
        </w:rPr>
        <w:t>日17：30</w:t>
      </w:r>
    </w:p>
    <w:p w14:paraId="6CF29CF5">
      <w:pPr>
        <w:pStyle w:val="41"/>
        <w:spacing w:line="360" w:lineRule="auto"/>
        <w:ind w:firstLine="480" w:firstLineChars="200"/>
        <w:rPr>
          <w:rFonts w:hint="eastAsia" w:cs="Tahoma"/>
          <w:b/>
          <w:bCs/>
          <w:color w:val="000000"/>
          <w:kern w:val="28"/>
          <w:szCs w:val="24"/>
          <w:highlight w:val="yellow"/>
        </w:rPr>
      </w:pPr>
      <w:r>
        <w:rPr>
          <w:rFonts w:hint="eastAsia" w:cs="Tahoma"/>
          <w:b/>
          <w:bCs/>
          <w:color w:val="000000"/>
          <w:kern w:val="28"/>
          <w:szCs w:val="24"/>
          <w:highlight w:val="yellow"/>
        </w:rPr>
        <w:t>提交文件截止时间：202</w:t>
      </w:r>
      <w:r>
        <w:rPr>
          <w:rFonts w:hint="eastAsia" w:cs="Tahoma"/>
          <w:b/>
          <w:bCs/>
          <w:color w:val="000000"/>
          <w:kern w:val="28"/>
          <w:szCs w:val="24"/>
          <w:highlight w:val="yellow"/>
          <w:lang w:val="en-US" w:eastAsia="zh-CN"/>
        </w:rPr>
        <w:t>6</w:t>
      </w:r>
      <w:r>
        <w:rPr>
          <w:rFonts w:hint="eastAsia" w:cs="Tahoma"/>
          <w:b/>
          <w:bCs/>
          <w:color w:val="000000"/>
          <w:kern w:val="28"/>
          <w:szCs w:val="24"/>
          <w:highlight w:val="yellow"/>
        </w:rPr>
        <w:t>年</w:t>
      </w:r>
      <w:r>
        <w:rPr>
          <w:rFonts w:hint="eastAsia" w:cs="Tahoma"/>
          <w:b/>
          <w:bCs/>
          <w:color w:val="000000"/>
          <w:kern w:val="28"/>
          <w:szCs w:val="24"/>
          <w:highlight w:val="yellow"/>
          <w:lang w:val="en-US" w:eastAsia="zh-CN"/>
        </w:rPr>
        <w:t>7</w:t>
      </w:r>
      <w:r>
        <w:rPr>
          <w:rFonts w:hint="eastAsia" w:cs="Tahoma"/>
          <w:b/>
          <w:bCs/>
          <w:color w:val="000000"/>
          <w:kern w:val="28"/>
          <w:szCs w:val="24"/>
          <w:highlight w:val="yellow"/>
        </w:rPr>
        <w:t>月</w:t>
      </w:r>
      <w:r>
        <w:rPr>
          <w:rFonts w:hint="eastAsia" w:cs="Tahoma"/>
          <w:b/>
          <w:bCs/>
          <w:color w:val="000000"/>
          <w:kern w:val="28"/>
          <w:szCs w:val="24"/>
          <w:highlight w:val="yellow"/>
          <w:lang w:val="en-US" w:eastAsia="zh-CN"/>
        </w:rPr>
        <w:t>23</w:t>
      </w:r>
      <w:r>
        <w:rPr>
          <w:rFonts w:hint="eastAsia" w:cs="Tahoma"/>
          <w:b/>
          <w:bCs/>
          <w:color w:val="000000"/>
          <w:kern w:val="28"/>
          <w:szCs w:val="24"/>
          <w:highlight w:val="yellow"/>
        </w:rPr>
        <w:t>日</w:t>
      </w:r>
      <w:r>
        <w:rPr>
          <w:rFonts w:hint="eastAsia" w:cs="Tahoma"/>
          <w:b/>
          <w:bCs/>
          <w:color w:val="000000"/>
          <w:kern w:val="28"/>
          <w:szCs w:val="24"/>
          <w:highlight w:val="yellow"/>
          <w:lang w:val="en-US" w:eastAsia="zh-CN"/>
        </w:rPr>
        <w:t>9</w:t>
      </w:r>
      <w:r>
        <w:rPr>
          <w:rFonts w:hint="eastAsia" w:cs="Tahoma"/>
          <w:b/>
          <w:bCs/>
          <w:color w:val="000000"/>
          <w:kern w:val="28"/>
          <w:szCs w:val="24"/>
          <w:highlight w:val="yellow"/>
        </w:rPr>
        <w:t>：</w:t>
      </w:r>
      <w:r>
        <w:rPr>
          <w:rFonts w:hint="eastAsia" w:cs="Tahoma"/>
          <w:b/>
          <w:bCs/>
          <w:color w:val="000000"/>
          <w:kern w:val="28"/>
          <w:szCs w:val="24"/>
          <w:highlight w:val="yellow"/>
          <w:lang w:val="en-US" w:eastAsia="zh-CN"/>
        </w:rPr>
        <w:t>0</w:t>
      </w:r>
      <w:r>
        <w:rPr>
          <w:rFonts w:hint="eastAsia" w:cs="Tahoma"/>
          <w:b/>
          <w:bCs/>
          <w:color w:val="000000"/>
          <w:kern w:val="28"/>
          <w:szCs w:val="24"/>
          <w:highlight w:val="yellow"/>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val="en-US" w:eastAsia="zh-CN"/>
        </w:rPr>
        <w:t>招标</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、项目需求内容</w:t>
      </w:r>
    </w:p>
    <w:p w14:paraId="1766F46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项目概况 </w:t>
      </w:r>
    </w:p>
    <w:p w14:paraId="3F7FACD6">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（一）</w:t>
      </w:r>
      <w:r>
        <w:rPr>
          <w:rFonts w:hint="eastAsia" w:ascii="宋体" w:hAnsi="宋体" w:eastAsia="宋体" w:cs="宋体"/>
          <w:bCs/>
          <w:sz w:val="24"/>
          <w:szCs w:val="24"/>
          <w:lang w:val="en-US" w:eastAsia="zh-CN"/>
        </w:rPr>
        <w:t>项目名称：中山市中医院全自动化学发光分析仪项目</w:t>
      </w:r>
    </w:p>
    <w:p w14:paraId="175D7763">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二</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项目内容：适用于检测γ-干扰素(结核分枝杆菌特异性细胞免疫反应检测)，按照结核分枝杆菌特异抗原刺激细胞因子释放试验（250403090S）名称开展检验，预计年检测数量为3000人份。</w:t>
      </w:r>
    </w:p>
    <w:p w14:paraId="1E9650E9">
      <w:pPr>
        <w:jc w:val="left"/>
        <w:rPr>
          <w:rFonts w:hint="eastAsia" w:ascii="宋体" w:hAnsi="宋体" w:eastAsia="宋体" w:cs="宋体"/>
          <w:bCs/>
          <w:sz w:val="24"/>
          <w:szCs w:val="24"/>
          <w:lang w:val="en-US" w:eastAsia="zh-CN"/>
        </w:rPr>
      </w:pP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三</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拟采购方式</w:t>
      </w:r>
    </w:p>
    <w:p w14:paraId="322FD1A8">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供应商提供结核分枝杆菌特异抗原刺激细胞因子释放试验所需全部检验试剂、配套耗材、质控品、校准品及检测仪器。</w:t>
      </w:r>
    </w:p>
    <w:p w14:paraId="01EC1EA4">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2.检验试剂、配套耗材、质控品、校准品等在广东省药品和医用耗材招采管理系统挂网的，与我院签订线上合同；未在广东省药品和医用耗材招采管理系统挂网的，与我院签订线下购销合同。</w:t>
      </w:r>
    </w:p>
    <w:p w14:paraId="2C7DE5E6">
      <w:pPr>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检测平台以租赁方式入院，租赁期限为5年，合同1年一签。</w:t>
      </w:r>
    </w:p>
    <w:p w14:paraId="65C5502A">
      <w:pPr>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（四）拟中选供应商数量：1家。</w:t>
      </w:r>
    </w:p>
    <w:p w14:paraId="435D39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both"/>
        <w:textAlignment w:val="auto"/>
        <w:rPr>
          <w:rFonts w:hint="default" w:ascii="Times New Roman" w:hAnsi="Times New Roman" w:eastAsia="仿宋" w:cs="Times New Roman"/>
          <w:i w:val="0"/>
          <w:iCs w:val="0"/>
          <w:caps w:val="0"/>
          <w:color w:val="auto"/>
          <w:spacing w:val="0"/>
          <w:kern w:val="0"/>
          <w:sz w:val="28"/>
          <w:szCs w:val="28"/>
          <w:highlight w:val="none"/>
          <w:shd w:val="clear" w:fill="FFFFFF"/>
          <w:lang w:val="en-US" w:eastAsia="zh-CN" w:bidi="ar"/>
        </w:rPr>
      </w:pPr>
    </w:p>
    <w:p w14:paraId="7A25672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技术要求</w:t>
      </w:r>
    </w:p>
    <w:p w14:paraId="0C0F8AC7">
      <w:pPr>
        <w:jc w:val="left"/>
        <w:rPr>
          <w:rFonts w:hint="eastAsia" w:ascii="宋体" w:hAnsi="宋体" w:eastAsia="宋体" w:cs="宋体"/>
          <w:b/>
          <w:sz w:val="24"/>
          <w:szCs w:val="24"/>
          <w:lang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▲设备采用化学发光法检测原理，定性、定量检测；支持夹心法、间接法、捕获法、竞争法等多种免疫分析方法；支持血清、血浆、尿液、唾液、痰液、脑脊液、肺泡灌洗液、拭子洗脱液等样本。</w:t>
      </w:r>
      <w:r>
        <w:rPr>
          <w:rFonts w:hint="eastAsia" w:ascii="宋体" w:hAnsi="宋体" w:cs="宋体"/>
          <w:bCs/>
          <w:sz w:val="24"/>
          <w:szCs w:val="24"/>
          <w:lang w:eastAsia="zh-CN"/>
        </w:rPr>
        <w:t>（</w:t>
      </w:r>
      <w:r>
        <w:rPr>
          <w:rFonts w:hint="eastAsia" w:ascii="宋体" w:hAnsi="宋体" w:cs="宋体"/>
          <w:bCs/>
          <w:sz w:val="24"/>
          <w:szCs w:val="24"/>
          <w:lang w:val="en-US" w:eastAsia="zh-CN"/>
        </w:rPr>
        <w:t>响应方式：</w:t>
      </w:r>
      <w:r>
        <w:rPr>
          <w:rFonts w:hint="eastAsia" w:ascii="宋体" w:hAnsi="宋体" w:cs="宋体"/>
          <w:bCs/>
          <w:sz w:val="24"/>
          <w:lang w:eastAsia="zh-CN"/>
        </w:rPr>
        <w:t>响应文件</w:t>
      </w:r>
      <w:r>
        <w:rPr>
          <w:rFonts w:hint="eastAsia" w:ascii="宋体" w:hAnsi="宋体" w:cs="宋体"/>
          <w:bCs/>
          <w:sz w:val="24"/>
        </w:rPr>
        <w:t>中提供产品说明书相关页或产品注册证相关页或技术白皮书相关页或产品彩页相关页或功能界面截图或实物图片或检测报告相关页等证明资料，并加盖</w:t>
      </w:r>
      <w:r>
        <w:rPr>
          <w:rFonts w:hint="eastAsia" w:ascii="宋体" w:hAnsi="宋体" w:cs="宋体"/>
          <w:bCs/>
          <w:sz w:val="24"/>
          <w:lang w:eastAsia="zh-CN"/>
        </w:rPr>
        <w:t>响应供应商</w:t>
      </w:r>
      <w:r>
        <w:rPr>
          <w:rFonts w:hint="eastAsia" w:ascii="宋体" w:hAnsi="宋体" w:cs="宋体"/>
          <w:bCs/>
          <w:sz w:val="24"/>
        </w:rPr>
        <w:t>单位公章</w:t>
      </w:r>
      <w:r>
        <w:rPr>
          <w:rFonts w:hint="eastAsia" w:ascii="宋体" w:hAnsi="宋体" w:cs="宋体"/>
          <w:bCs/>
          <w:sz w:val="24"/>
          <w:szCs w:val="24"/>
          <w:lang w:eastAsia="zh-CN"/>
        </w:rPr>
        <w:t>）</w:t>
      </w:r>
    </w:p>
    <w:p w14:paraId="053AAD0C">
      <w:pPr>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设备单机检测速度≥200测试/小时，具备急诊检测模式，急诊样本优先检测，结果出具时间≤15min。</w:t>
      </w:r>
    </w:p>
    <w:p w14:paraId="44F4DB8D">
      <w:pPr>
        <w:jc w:val="lef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▲设备可根据后续检测需求拓展多个分析模块联机，可拓展分析模块≥2个。</w:t>
      </w:r>
      <w:r>
        <w:rPr>
          <w:rFonts w:hint="eastAsia" w:ascii="宋体" w:hAnsi="宋体" w:cs="宋体"/>
          <w:bCs/>
          <w:sz w:val="24"/>
          <w:szCs w:val="24"/>
          <w:lang w:eastAsia="zh-CN"/>
        </w:rPr>
        <w:t>（</w:t>
      </w:r>
      <w:r>
        <w:rPr>
          <w:rFonts w:hint="eastAsia" w:ascii="宋体" w:hAnsi="宋体" w:cs="宋体"/>
          <w:bCs/>
          <w:sz w:val="24"/>
          <w:szCs w:val="24"/>
          <w:lang w:val="en-US" w:eastAsia="zh-CN"/>
        </w:rPr>
        <w:t>响应方式：</w:t>
      </w:r>
      <w:r>
        <w:rPr>
          <w:rFonts w:hint="eastAsia" w:ascii="宋体" w:hAnsi="宋体" w:cs="宋体"/>
          <w:bCs/>
          <w:sz w:val="24"/>
          <w:szCs w:val="24"/>
          <w:lang w:eastAsia="zh-CN"/>
        </w:rPr>
        <w:t>响应文件</w:t>
      </w:r>
      <w:r>
        <w:rPr>
          <w:rFonts w:hint="eastAsia" w:ascii="宋体" w:hAnsi="宋体" w:eastAsia="宋体" w:cs="宋体"/>
          <w:bCs/>
          <w:sz w:val="24"/>
          <w:szCs w:val="24"/>
        </w:rPr>
        <w:t>中提供产品说明书相关页或产品注册证相关页或技术白皮书相关页或产品彩页相关页或功能界面截图或实物图片或检测报告相关页等证明资料，并加盖</w:t>
      </w:r>
      <w:r>
        <w:rPr>
          <w:rFonts w:hint="eastAsia" w:ascii="宋体" w:hAnsi="宋体" w:cs="宋体"/>
          <w:bCs/>
          <w:sz w:val="24"/>
          <w:szCs w:val="24"/>
          <w:lang w:eastAsia="zh-CN"/>
        </w:rPr>
        <w:t>响应供应商</w:t>
      </w:r>
      <w:r>
        <w:rPr>
          <w:rFonts w:hint="eastAsia" w:ascii="宋体" w:hAnsi="宋体" w:eastAsia="宋体" w:cs="宋体"/>
          <w:bCs/>
          <w:sz w:val="24"/>
          <w:szCs w:val="24"/>
        </w:rPr>
        <w:t>单位公章</w:t>
      </w:r>
      <w:r>
        <w:rPr>
          <w:rFonts w:hint="eastAsia" w:ascii="宋体" w:hAnsi="宋体" w:cs="宋体"/>
          <w:bCs/>
          <w:sz w:val="24"/>
          <w:szCs w:val="24"/>
          <w:lang w:eastAsia="zh-CN"/>
        </w:rPr>
        <w:t>）</w:t>
      </w:r>
    </w:p>
    <w:p w14:paraId="02AA881D">
      <w:pPr>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设备内置具备2–8℃冷藏功能的试剂仓，设备关机时试剂仓仍可保持冷藏功能，试剂位≥20个；每台设备检测反应位≥140个，可支持多项目同时检测。</w:t>
      </w:r>
    </w:p>
    <w:p w14:paraId="71A4966B">
      <w:pPr>
        <w:jc w:val="left"/>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w:t>
      </w:r>
      <w:r>
        <w:rPr>
          <w:rFonts w:hint="eastAsia" w:ascii="宋体" w:hAnsi="宋体" w:eastAsia="宋体" w:cs="宋体"/>
          <w:bCs/>
          <w:sz w:val="24"/>
          <w:szCs w:val="24"/>
        </w:rPr>
        <w:t>采用一次性反应杯及一次性吸头进行加样检测，减少样本携带污染和交叉污染风险。</w:t>
      </w:r>
    </w:p>
    <w:p w14:paraId="3877CD3E">
      <w:pPr>
        <w:jc w:val="left"/>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cs="宋体"/>
          <w:bCs/>
          <w:sz w:val="24"/>
          <w:szCs w:val="24"/>
          <w:lang w:val="en-US" w:eastAsia="zh-CN"/>
        </w:rPr>
        <w:t>.</w:t>
      </w:r>
      <w:r>
        <w:rPr>
          <w:rFonts w:hint="eastAsia" w:ascii="宋体" w:hAnsi="宋体" w:eastAsia="宋体" w:cs="宋体"/>
          <w:bCs/>
          <w:sz w:val="24"/>
          <w:szCs w:val="24"/>
        </w:rPr>
        <w:t>设备检测全过程支持自动加样、自动混匀、自动孵育、自动清洗、自动检测和结果输出等功能，自动化运行，无需人工干预；支持不停机添加试剂、吸头、反应杯、辅助试剂等；支持样本自动重检、样本自动稀释检测。</w:t>
      </w:r>
    </w:p>
    <w:p w14:paraId="784E0B31">
      <w:pPr>
        <w:jc w:val="left"/>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cs="宋体"/>
          <w:bCs/>
          <w:sz w:val="24"/>
          <w:szCs w:val="24"/>
          <w:lang w:val="en-US" w:eastAsia="zh-CN"/>
        </w:rPr>
        <w:t>.</w:t>
      </w:r>
      <w:r>
        <w:rPr>
          <w:rFonts w:hint="eastAsia" w:ascii="宋体" w:hAnsi="宋体" w:eastAsia="宋体" w:cs="宋体"/>
          <w:bCs/>
          <w:sz w:val="24"/>
          <w:szCs w:val="24"/>
        </w:rPr>
        <w:t>设备加样系统具备液面探测、样本凝块与气泡、探测、防撞保护等功能。</w:t>
      </w:r>
    </w:p>
    <w:p w14:paraId="05914164">
      <w:pPr>
        <w:jc w:val="left"/>
        <w:rPr>
          <w:rFonts w:hint="eastAsia" w:ascii="宋体" w:hAnsi="宋体" w:eastAsia="宋体" w:cs="宋体"/>
          <w:bCs/>
          <w:sz w:val="24"/>
          <w:szCs w:val="24"/>
        </w:rPr>
      </w:pPr>
      <w:r>
        <w:rPr>
          <w:rFonts w:hint="eastAsia" w:ascii="宋体" w:hAnsi="宋体" w:eastAsia="宋体" w:cs="宋体"/>
          <w:bCs/>
          <w:sz w:val="24"/>
          <w:szCs w:val="24"/>
        </w:rPr>
        <w:t>8</w:t>
      </w:r>
      <w:r>
        <w:rPr>
          <w:rFonts w:hint="eastAsia" w:ascii="宋体" w:hAnsi="宋体" w:cs="宋体"/>
          <w:bCs/>
          <w:sz w:val="24"/>
          <w:szCs w:val="24"/>
          <w:lang w:val="en-US" w:eastAsia="zh-CN"/>
        </w:rPr>
        <w:t>.</w:t>
      </w:r>
      <w:r>
        <w:rPr>
          <w:rFonts w:hint="eastAsia" w:ascii="宋体" w:hAnsi="宋体" w:eastAsia="宋体" w:cs="宋体"/>
          <w:bCs/>
          <w:sz w:val="24"/>
          <w:szCs w:val="24"/>
        </w:rPr>
        <w:t>样本加载支持原始采血管、样本杯等多种不同规格的样本容器；支持单个样本上机检测，也支持批量样本上机检测，批量上机样本数≥150个。</w:t>
      </w:r>
    </w:p>
    <w:p w14:paraId="76D3972E">
      <w:pPr>
        <w:jc w:val="left"/>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cs="宋体"/>
          <w:bCs/>
          <w:sz w:val="24"/>
          <w:szCs w:val="24"/>
          <w:lang w:val="en-US" w:eastAsia="zh-CN"/>
        </w:rPr>
        <w:t>.</w:t>
      </w:r>
      <w:r>
        <w:rPr>
          <w:rFonts w:hint="eastAsia" w:ascii="宋体" w:hAnsi="宋体" w:eastAsia="宋体" w:cs="宋体"/>
          <w:bCs/>
          <w:sz w:val="24"/>
          <w:szCs w:val="24"/>
        </w:rPr>
        <w:t>检测项目支持结核分枝杆菌特异性细胞免疫反应检测（IGRA），可拓展感染性疾病标志物等项目检测；检测项目需配套校准品、质控品，满足日常室内质量控制要求。</w:t>
      </w:r>
    </w:p>
    <w:p w14:paraId="66F7BDD0">
      <w:pPr>
        <w:jc w:val="left"/>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w:t>
      </w:r>
      <w:r>
        <w:rPr>
          <w:rFonts w:hint="eastAsia" w:ascii="宋体" w:hAnsi="宋体" w:eastAsia="宋体" w:cs="宋体"/>
          <w:bCs/>
          <w:sz w:val="24"/>
          <w:szCs w:val="24"/>
        </w:rPr>
        <w:t>设备具备中文操作系统，支持样本试管扫描条码识别，支持与LIS双向通讯对接。</w:t>
      </w:r>
    </w:p>
    <w:p w14:paraId="43C28B47">
      <w:pPr>
        <w:jc w:val="left"/>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cs="宋体"/>
          <w:bCs/>
          <w:sz w:val="24"/>
          <w:szCs w:val="24"/>
          <w:lang w:val="en-US" w:eastAsia="zh-CN"/>
        </w:rPr>
        <w:t>.</w:t>
      </w:r>
      <w:r>
        <w:rPr>
          <w:rFonts w:hint="eastAsia" w:ascii="宋体" w:hAnsi="宋体" w:eastAsia="宋体" w:cs="宋体"/>
          <w:bCs/>
          <w:sz w:val="24"/>
          <w:szCs w:val="24"/>
        </w:rPr>
        <w:t>配置清单</w:t>
      </w:r>
    </w:p>
    <w:tbl>
      <w:tblPr>
        <w:tblStyle w:val="20"/>
        <w:tblW w:w="4998" w:type="pct"/>
        <w:jc w:val="center"/>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Layout w:type="autofit"/>
        <w:tblCellMar>
          <w:top w:w="0" w:type="dxa"/>
          <w:left w:w="108" w:type="dxa"/>
          <w:bottom w:w="0" w:type="dxa"/>
          <w:right w:w="108" w:type="dxa"/>
        </w:tblCellMar>
      </w:tblPr>
      <w:tblGrid>
        <w:gridCol w:w="1401"/>
        <w:gridCol w:w="5016"/>
        <w:gridCol w:w="1377"/>
        <w:gridCol w:w="1430"/>
      </w:tblGrid>
      <w:tr w14:paraId="56DBC71A">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590" w:hRule="exact"/>
          <w:tblHeader/>
          <w:jc w:val="center"/>
        </w:trPr>
        <w:tc>
          <w:tcPr>
            <w:tcW w:w="759" w:type="pct"/>
            <w:vMerge w:val="restart"/>
            <w:tcMar>
              <w:top w:w="35" w:type="dxa"/>
              <w:left w:w="35" w:type="dxa"/>
              <w:bottom w:w="35" w:type="dxa"/>
              <w:right w:w="35" w:type="dxa"/>
            </w:tcMar>
            <w:vAlign w:val="center"/>
          </w:tcPr>
          <w:p w14:paraId="6E8B1570">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718" w:type="pct"/>
            <w:vMerge w:val="restart"/>
            <w:tcMar>
              <w:top w:w="35" w:type="dxa"/>
              <w:left w:w="35" w:type="dxa"/>
              <w:bottom w:w="35" w:type="dxa"/>
              <w:right w:w="35" w:type="dxa"/>
            </w:tcMar>
            <w:vAlign w:val="center"/>
          </w:tcPr>
          <w:p w14:paraId="331189B6">
            <w:pPr>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746" w:type="pct"/>
            <w:vMerge w:val="restart"/>
            <w:tcMar>
              <w:top w:w="35" w:type="dxa"/>
              <w:left w:w="35" w:type="dxa"/>
              <w:bottom w:w="35" w:type="dxa"/>
              <w:right w:w="35" w:type="dxa"/>
            </w:tcMar>
            <w:vAlign w:val="center"/>
          </w:tcPr>
          <w:p w14:paraId="4288D3E6">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775" w:type="pct"/>
            <w:vMerge w:val="restart"/>
            <w:tcMar>
              <w:top w:w="35" w:type="dxa"/>
              <w:left w:w="35" w:type="dxa"/>
              <w:bottom w:w="35" w:type="dxa"/>
              <w:right w:w="35" w:type="dxa"/>
            </w:tcMar>
            <w:vAlign w:val="center"/>
          </w:tcPr>
          <w:p w14:paraId="0EAF4052">
            <w:pPr>
              <w:jc w:val="center"/>
              <w:rPr>
                <w:rFonts w:hint="eastAsia" w:ascii="宋体" w:hAnsi="宋体" w:eastAsia="宋体" w:cs="宋体"/>
                <w:bCs/>
                <w:sz w:val="24"/>
                <w:szCs w:val="24"/>
              </w:rPr>
            </w:pPr>
            <w:r>
              <w:rPr>
                <w:rFonts w:hint="eastAsia" w:ascii="宋体" w:hAnsi="宋体" w:eastAsia="宋体" w:cs="宋体"/>
                <w:bCs/>
                <w:sz w:val="24"/>
                <w:szCs w:val="24"/>
              </w:rPr>
              <w:t>单位</w:t>
            </w:r>
          </w:p>
        </w:tc>
      </w:tr>
      <w:tr w14:paraId="6AA74AD8">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312" w:hRule="exact"/>
          <w:tblHeader/>
          <w:jc w:val="center"/>
        </w:trPr>
        <w:tc>
          <w:tcPr>
            <w:tcW w:w="759" w:type="pct"/>
            <w:vMerge w:val="continue"/>
            <w:tcMar>
              <w:top w:w="35" w:type="dxa"/>
              <w:left w:w="35" w:type="dxa"/>
              <w:bottom w:w="35" w:type="dxa"/>
              <w:right w:w="35" w:type="dxa"/>
            </w:tcMar>
          </w:tcPr>
          <w:p w14:paraId="60A9FE05">
            <w:pPr>
              <w:jc w:val="center"/>
              <w:rPr>
                <w:rFonts w:hint="eastAsia" w:ascii="宋体" w:hAnsi="宋体" w:eastAsia="宋体" w:cs="宋体"/>
                <w:bCs/>
                <w:sz w:val="24"/>
                <w:szCs w:val="24"/>
              </w:rPr>
            </w:pPr>
          </w:p>
        </w:tc>
        <w:tc>
          <w:tcPr>
            <w:tcW w:w="2718" w:type="pct"/>
            <w:vMerge w:val="continue"/>
            <w:tcMar>
              <w:top w:w="35" w:type="dxa"/>
              <w:left w:w="35" w:type="dxa"/>
              <w:bottom w:w="35" w:type="dxa"/>
              <w:right w:w="35" w:type="dxa"/>
            </w:tcMar>
          </w:tcPr>
          <w:p w14:paraId="6F340476">
            <w:pPr>
              <w:jc w:val="center"/>
              <w:rPr>
                <w:rFonts w:hint="eastAsia" w:ascii="宋体" w:hAnsi="宋体" w:eastAsia="宋体" w:cs="宋体"/>
                <w:bCs/>
                <w:sz w:val="24"/>
                <w:szCs w:val="24"/>
              </w:rPr>
            </w:pPr>
          </w:p>
        </w:tc>
        <w:tc>
          <w:tcPr>
            <w:tcW w:w="746" w:type="pct"/>
            <w:vMerge w:val="continue"/>
            <w:tcMar>
              <w:top w:w="35" w:type="dxa"/>
              <w:left w:w="35" w:type="dxa"/>
              <w:bottom w:w="35" w:type="dxa"/>
              <w:right w:w="35" w:type="dxa"/>
            </w:tcMar>
          </w:tcPr>
          <w:p w14:paraId="5DF06391">
            <w:pPr>
              <w:jc w:val="center"/>
              <w:rPr>
                <w:rFonts w:hint="eastAsia" w:ascii="宋体" w:hAnsi="宋体" w:eastAsia="宋体" w:cs="宋体"/>
                <w:bCs/>
                <w:sz w:val="24"/>
                <w:szCs w:val="24"/>
              </w:rPr>
            </w:pPr>
          </w:p>
        </w:tc>
        <w:tc>
          <w:tcPr>
            <w:tcW w:w="775" w:type="pct"/>
            <w:vMerge w:val="continue"/>
            <w:tcMar>
              <w:top w:w="35" w:type="dxa"/>
              <w:left w:w="35" w:type="dxa"/>
              <w:bottom w:w="35" w:type="dxa"/>
              <w:right w:w="35" w:type="dxa"/>
            </w:tcMar>
          </w:tcPr>
          <w:p w14:paraId="02190080">
            <w:pPr>
              <w:jc w:val="center"/>
              <w:rPr>
                <w:rFonts w:hint="eastAsia" w:ascii="宋体" w:hAnsi="宋体" w:eastAsia="宋体" w:cs="宋体"/>
                <w:bCs/>
                <w:sz w:val="24"/>
                <w:szCs w:val="24"/>
              </w:rPr>
            </w:pPr>
          </w:p>
        </w:tc>
      </w:tr>
      <w:tr w14:paraId="05083285">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890" w:hRule="exact"/>
          <w:jc w:val="center"/>
        </w:trPr>
        <w:tc>
          <w:tcPr>
            <w:tcW w:w="759" w:type="pct"/>
            <w:tcMar>
              <w:top w:w="35" w:type="dxa"/>
              <w:left w:w="35" w:type="dxa"/>
              <w:bottom w:w="35" w:type="dxa"/>
              <w:right w:w="35" w:type="dxa"/>
            </w:tcMar>
            <w:vAlign w:val="center"/>
          </w:tcPr>
          <w:p w14:paraId="4488825A">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718" w:type="pct"/>
            <w:tcMar>
              <w:top w:w="35" w:type="dxa"/>
              <w:left w:w="35" w:type="dxa"/>
              <w:bottom w:w="35" w:type="dxa"/>
              <w:right w:w="35" w:type="dxa"/>
            </w:tcMar>
            <w:vAlign w:val="center"/>
          </w:tcPr>
          <w:p w14:paraId="35035E86">
            <w:pPr>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全自动化学发光免疫分析仪</w:t>
            </w:r>
          </w:p>
          <w:p w14:paraId="1F91F035">
            <w:pPr>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（含进样单元及辅助配件）</w:t>
            </w:r>
          </w:p>
        </w:tc>
        <w:tc>
          <w:tcPr>
            <w:tcW w:w="746" w:type="pct"/>
            <w:tcMar>
              <w:top w:w="35" w:type="dxa"/>
              <w:left w:w="35" w:type="dxa"/>
              <w:bottom w:w="35" w:type="dxa"/>
              <w:right w:w="35" w:type="dxa"/>
            </w:tcMar>
            <w:vAlign w:val="center"/>
          </w:tcPr>
          <w:p w14:paraId="323C21D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75" w:type="pct"/>
            <w:tcMar>
              <w:top w:w="35" w:type="dxa"/>
              <w:left w:w="35" w:type="dxa"/>
              <w:bottom w:w="35" w:type="dxa"/>
              <w:right w:w="35" w:type="dxa"/>
            </w:tcMar>
            <w:vAlign w:val="center"/>
          </w:tcPr>
          <w:p w14:paraId="2A52F9C5">
            <w:pPr>
              <w:jc w:val="center"/>
              <w:rPr>
                <w:rFonts w:hint="eastAsia" w:ascii="宋体" w:hAnsi="宋体" w:eastAsia="宋体" w:cs="宋体"/>
                <w:bCs/>
                <w:sz w:val="24"/>
                <w:szCs w:val="24"/>
              </w:rPr>
            </w:pPr>
            <w:r>
              <w:rPr>
                <w:rFonts w:hint="eastAsia" w:ascii="宋体" w:hAnsi="宋体" w:eastAsia="宋体" w:cs="宋体"/>
                <w:bCs/>
                <w:sz w:val="24"/>
                <w:szCs w:val="24"/>
              </w:rPr>
              <w:t>台</w:t>
            </w:r>
          </w:p>
        </w:tc>
      </w:tr>
      <w:tr w14:paraId="5896F853">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829" w:hRule="exact"/>
          <w:jc w:val="center"/>
        </w:trPr>
        <w:tc>
          <w:tcPr>
            <w:tcW w:w="759" w:type="pct"/>
            <w:tcMar>
              <w:top w:w="35" w:type="dxa"/>
              <w:left w:w="35" w:type="dxa"/>
              <w:bottom w:w="35" w:type="dxa"/>
              <w:right w:w="35" w:type="dxa"/>
            </w:tcMar>
            <w:vAlign w:val="center"/>
          </w:tcPr>
          <w:p w14:paraId="49F0C75A">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718" w:type="pct"/>
            <w:tcMar>
              <w:top w:w="35" w:type="dxa"/>
              <w:left w:w="35" w:type="dxa"/>
              <w:bottom w:w="35" w:type="dxa"/>
              <w:right w:w="35" w:type="dxa"/>
            </w:tcMar>
            <w:vAlign w:val="center"/>
          </w:tcPr>
          <w:p w14:paraId="77EC1765">
            <w:pPr>
              <w:jc w:val="center"/>
              <w:rPr>
                <w:rFonts w:hint="eastAsia" w:ascii="宋体" w:hAnsi="宋体" w:eastAsia="宋体" w:cs="宋体"/>
                <w:bCs/>
                <w:sz w:val="24"/>
                <w:szCs w:val="24"/>
              </w:rPr>
            </w:pPr>
            <w:r>
              <w:rPr>
                <w:rFonts w:hint="eastAsia" w:ascii="宋体" w:hAnsi="宋体" w:eastAsia="宋体" w:cs="宋体"/>
                <w:bCs/>
                <w:sz w:val="24"/>
                <w:szCs w:val="24"/>
              </w:rPr>
              <w:t>工作站</w:t>
            </w:r>
          </w:p>
        </w:tc>
        <w:tc>
          <w:tcPr>
            <w:tcW w:w="746" w:type="pct"/>
            <w:tcMar>
              <w:top w:w="35" w:type="dxa"/>
              <w:left w:w="35" w:type="dxa"/>
              <w:bottom w:w="35" w:type="dxa"/>
              <w:right w:w="35" w:type="dxa"/>
            </w:tcMar>
            <w:vAlign w:val="center"/>
          </w:tcPr>
          <w:p w14:paraId="0A803CC3">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75" w:type="pct"/>
            <w:tcMar>
              <w:top w:w="35" w:type="dxa"/>
              <w:left w:w="35" w:type="dxa"/>
              <w:bottom w:w="35" w:type="dxa"/>
              <w:right w:w="35" w:type="dxa"/>
            </w:tcMar>
            <w:vAlign w:val="center"/>
          </w:tcPr>
          <w:p w14:paraId="332F33D0">
            <w:pPr>
              <w:jc w:val="center"/>
              <w:rPr>
                <w:rFonts w:hint="eastAsia" w:ascii="宋体" w:hAnsi="宋体" w:eastAsia="宋体" w:cs="宋体"/>
                <w:bCs/>
                <w:sz w:val="24"/>
                <w:szCs w:val="24"/>
              </w:rPr>
            </w:pPr>
            <w:r>
              <w:rPr>
                <w:rFonts w:hint="eastAsia" w:ascii="宋体" w:hAnsi="宋体" w:eastAsia="宋体" w:cs="宋体"/>
                <w:bCs/>
                <w:sz w:val="24"/>
                <w:szCs w:val="24"/>
              </w:rPr>
              <w:t>套</w:t>
            </w:r>
          </w:p>
        </w:tc>
      </w:tr>
      <w:tr w14:paraId="0DE5F533">
        <w:tblPrEx>
          <w:tblBorders>
            <w:top w:val="single" w:color="5A5A5A" w:sz="6" w:space="0"/>
            <w:left w:val="single" w:color="5A5A5A" w:sz="6" w:space="0"/>
            <w:bottom w:val="single" w:color="5A5A5A" w:sz="6" w:space="0"/>
            <w:right w:val="single" w:color="5A5A5A" w:sz="6" w:space="0"/>
            <w:insideH w:val="single" w:color="5A5A5A" w:sz="6" w:space="0"/>
            <w:insideV w:val="single" w:color="5A5A5A" w:sz="6" w:space="0"/>
          </w:tblBorders>
          <w:tblCellMar>
            <w:top w:w="0" w:type="dxa"/>
            <w:left w:w="108" w:type="dxa"/>
            <w:bottom w:w="0" w:type="dxa"/>
            <w:right w:w="108" w:type="dxa"/>
          </w:tblCellMar>
        </w:tblPrEx>
        <w:trPr>
          <w:cantSplit/>
          <w:trHeight w:val="1332" w:hRule="exact"/>
          <w:jc w:val="center"/>
        </w:trPr>
        <w:tc>
          <w:tcPr>
            <w:tcW w:w="759" w:type="pct"/>
            <w:tcMar>
              <w:top w:w="35" w:type="dxa"/>
              <w:left w:w="35" w:type="dxa"/>
              <w:bottom w:w="35" w:type="dxa"/>
              <w:right w:w="35" w:type="dxa"/>
            </w:tcMar>
            <w:vAlign w:val="center"/>
          </w:tcPr>
          <w:p w14:paraId="53B8A226">
            <w:pPr>
              <w:jc w:val="center"/>
              <w:rPr>
                <w:rFonts w:hint="eastAsia" w:ascii="宋体" w:hAnsi="宋体" w:eastAsia="宋体" w:cs="宋体"/>
                <w:bCs/>
                <w:sz w:val="24"/>
                <w:szCs w:val="24"/>
                <w:highlight w:val="yellow"/>
              </w:rPr>
            </w:pPr>
            <w:r>
              <w:rPr>
                <w:rFonts w:hint="eastAsia" w:ascii="宋体" w:hAnsi="宋体" w:eastAsia="宋体" w:cs="宋体"/>
                <w:bCs/>
                <w:sz w:val="24"/>
                <w:szCs w:val="24"/>
              </w:rPr>
              <w:t>3</w:t>
            </w:r>
          </w:p>
        </w:tc>
        <w:tc>
          <w:tcPr>
            <w:tcW w:w="2718" w:type="pct"/>
            <w:tcMar>
              <w:top w:w="35" w:type="dxa"/>
              <w:left w:w="35" w:type="dxa"/>
              <w:bottom w:w="35" w:type="dxa"/>
              <w:right w:w="35" w:type="dxa"/>
            </w:tcMar>
            <w:vAlign w:val="center"/>
          </w:tcPr>
          <w:p w14:paraId="1C4BB139">
            <w:pPr>
              <w:jc w:val="center"/>
              <w:rPr>
                <w:rFonts w:hint="eastAsia" w:ascii="宋体" w:hAnsi="宋体" w:eastAsia="宋体" w:cs="宋体"/>
                <w:bCs/>
                <w:sz w:val="24"/>
                <w:szCs w:val="24"/>
              </w:rPr>
            </w:pPr>
            <w:r>
              <w:rPr>
                <w:rFonts w:hint="eastAsia" w:ascii="宋体" w:hAnsi="宋体" w:eastAsia="宋体" w:cs="宋体"/>
                <w:bCs/>
                <w:sz w:val="24"/>
                <w:szCs w:val="24"/>
              </w:rPr>
              <w:t>样本架</w:t>
            </w:r>
          </w:p>
          <w:p w14:paraId="09F93A14">
            <w:pPr>
              <w:jc w:val="center"/>
              <w:rPr>
                <w:rFonts w:hint="eastAsia" w:ascii="宋体" w:hAnsi="宋体" w:eastAsia="宋体" w:cs="宋体"/>
                <w:bCs/>
                <w:sz w:val="24"/>
                <w:szCs w:val="24"/>
              </w:rPr>
            </w:pPr>
            <w:r>
              <w:rPr>
                <w:rFonts w:hint="eastAsia" w:ascii="宋体" w:hAnsi="宋体" w:eastAsia="宋体" w:cs="宋体"/>
                <w:bCs/>
                <w:sz w:val="24"/>
                <w:szCs w:val="24"/>
              </w:rPr>
              <w:t>(适用样本、校准品、质控品)</w:t>
            </w:r>
          </w:p>
        </w:tc>
        <w:tc>
          <w:tcPr>
            <w:tcW w:w="746" w:type="pct"/>
            <w:tcMar>
              <w:top w:w="35" w:type="dxa"/>
              <w:left w:w="35" w:type="dxa"/>
              <w:bottom w:w="35" w:type="dxa"/>
              <w:right w:w="35" w:type="dxa"/>
            </w:tcMar>
            <w:vAlign w:val="center"/>
          </w:tcPr>
          <w:p w14:paraId="76E4259D">
            <w:pPr>
              <w:jc w:val="center"/>
              <w:rPr>
                <w:rFonts w:hint="eastAsia" w:ascii="宋体" w:hAnsi="宋体" w:eastAsia="宋体" w:cs="宋体"/>
                <w:bCs/>
                <w:sz w:val="24"/>
                <w:szCs w:val="24"/>
              </w:rPr>
            </w:pPr>
            <w:r>
              <w:rPr>
                <w:rFonts w:hint="eastAsia" w:ascii="宋体" w:hAnsi="宋体" w:eastAsia="宋体" w:cs="宋体"/>
                <w:bCs/>
                <w:sz w:val="24"/>
                <w:szCs w:val="24"/>
              </w:rPr>
              <w:t>40</w:t>
            </w:r>
          </w:p>
        </w:tc>
        <w:tc>
          <w:tcPr>
            <w:tcW w:w="775" w:type="pct"/>
            <w:tcMar>
              <w:top w:w="35" w:type="dxa"/>
              <w:left w:w="35" w:type="dxa"/>
              <w:bottom w:w="35" w:type="dxa"/>
              <w:right w:w="35" w:type="dxa"/>
            </w:tcMar>
            <w:vAlign w:val="center"/>
          </w:tcPr>
          <w:p w14:paraId="3AC9B41A">
            <w:pPr>
              <w:jc w:val="center"/>
              <w:rPr>
                <w:rFonts w:hint="eastAsia" w:ascii="宋体" w:hAnsi="宋体" w:eastAsia="宋体" w:cs="宋体"/>
                <w:bCs/>
                <w:sz w:val="24"/>
                <w:szCs w:val="24"/>
              </w:rPr>
            </w:pPr>
            <w:r>
              <w:rPr>
                <w:rFonts w:hint="eastAsia" w:ascii="宋体" w:hAnsi="宋体" w:eastAsia="宋体" w:cs="宋体"/>
                <w:bCs/>
                <w:sz w:val="24"/>
                <w:szCs w:val="24"/>
              </w:rPr>
              <w:t>个</w:t>
            </w:r>
          </w:p>
        </w:tc>
      </w:tr>
    </w:tbl>
    <w:p w14:paraId="7B5D2793">
      <w:pPr>
        <w:jc w:val="left"/>
        <w:rPr>
          <w:rFonts w:hint="eastAsia" w:asciiTheme="minorEastAsia" w:hAnsiTheme="minorEastAsia"/>
          <w:bCs/>
          <w:sz w:val="28"/>
          <w:szCs w:val="28"/>
        </w:rPr>
      </w:pPr>
    </w:p>
    <w:p w14:paraId="5196FDA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三、商务要求</w:t>
      </w:r>
    </w:p>
    <w:p w14:paraId="4672DF95">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w:t>
      </w:r>
    </w:p>
    <w:p w14:paraId="71252F4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1.1与医院签订设备租赁合同及耗材采购合同后，供应商须再10个工作日内向中山市中医院提供耗材，设备及并组织安装、安装等。</w:t>
      </w:r>
    </w:p>
    <w:p w14:paraId="2D35A6B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1.2设备启用后第一个月为产品试用期，如在一个月内有多次不良反馈，厂家仍无法改善或供货期间发生不良事件经医院评估确认无法保障医疗质量安全的则甲方有权利单方终止合同。</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1.3供应商中选后，所供应产品的医疗器械注册证、规格型号等关键信息必须与遴选报名资料保持一致。</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2.标的提供的地点：中山市中医院检验科</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3.响应有效期：从提交响应（响应）文件的截止之日起30日历天。</w:t>
      </w:r>
    </w:p>
    <w:p w14:paraId="5F6E1EE3">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4.1设备结算：设备租赁满一年后，中选人须提供合同、租赁验收报告、有效发票给采购人，采购人收到后于60天内支付合同总额的100%。</w:t>
      </w:r>
    </w:p>
    <w:p w14:paraId="5B29F608">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4.2耗材结算：</w:t>
      </w:r>
    </w:p>
    <w:p w14:paraId="610B884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Theme="minorEastAsia" w:hAnsiTheme="minorEastAsia" w:eastAsiaTheme="minorEastAsia" w:cstheme="minorEastAsia"/>
          <w:color w:val="auto"/>
          <w:sz w:val="24"/>
          <w:szCs w:val="24"/>
          <w:highlight w:val="none"/>
          <w:lang w:val="en-US" w:eastAsia="zh-CN"/>
        </w:rPr>
        <w:t>4.2.1</w:t>
      </w:r>
      <w:r>
        <w:rPr>
          <w:rFonts w:hint="eastAsia" w:ascii="宋体" w:hAnsi="宋体" w:eastAsia="宋体" w:cs="Times New Roman"/>
          <w:color w:val="000000"/>
          <w:sz w:val="24"/>
          <w:shd w:val="clear" w:color="auto" w:fill="FFFFFF"/>
          <w:lang w:val="en-US" w:eastAsia="zh-CN"/>
        </w:rPr>
        <w:t>耗材</w:t>
      </w:r>
      <w:r>
        <w:rPr>
          <w:rFonts w:hint="eastAsia" w:ascii="宋体" w:hAnsi="宋体" w:eastAsia="宋体" w:cs="Times New Roman"/>
          <w:color w:val="000000"/>
          <w:sz w:val="24"/>
          <w:shd w:val="clear" w:color="auto" w:fill="FFFFFF"/>
        </w:rPr>
        <w:t>交易价格：按甲乙双方在交易平台达成的交易价格执行（具体见本合同附件之采购医用耗材明细表中的交易价），该价格包含耗材制造成本、运输、包装、附随服务等费用、税费及其他一切附加费用以及利润。</w:t>
      </w:r>
    </w:p>
    <w:p w14:paraId="5E9851B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lang w:val="en-US" w:eastAsia="zh-CN"/>
        </w:rPr>
        <w:t>4.2.2</w:t>
      </w:r>
      <w:r>
        <w:rPr>
          <w:rFonts w:hint="eastAsia" w:ascii="宋体" w:hAnsi="宋体" w:eastAsia="宋体" w:cs="Times New Roman"/>
          <w:color w:val="000000"/>
          <w:sz w:val="24"/>
          <w:shd w:val="clear" w:color="auto" w:fill="FFFFFF"/>
        </w:rPr>
        <w:t>本合同履行期间，如遇政策性调价，按政策规定的价格执行。</w:t>
      </w:r>
    </w:p>
    <w:p w14:paraId="4617E77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lang w:val="en-US" w:eastAsia="zh-CN"/>
        </w:rPr>
        <w:t>4.2.3</w:t>
      </w:r>
      <w:r>
        <w:rPr>
          <w:rFonts w:hint="eastAsia" w:ascii="宋体" w:hAnsi="宋体" w:eastAsia="宋体" w:cs="Times New Roman"/>
          <w:color w:val="000000"/>
          <w:sz w:val="24"/>
          <w:shd w:val="clear" w:color="auto" w:fill="FFFFFF"/>
        </w:rPr>
        <w:t>医用耗材送达交收地点后，甲方应按相关规定验收。甲方确认收货后，乙方应及时将发票送达甲方。甲方按院内流程办理发票付款。</w:t>
      </w:r>
    </w:p>
    <w:p w14:paraId="4095C4E7">
      <w:pPr>
        <w:spacing w:line="360" w:lineRule="auto"/>
        <w:ind w:firstLine="480" w:firstLineChars="200"/>
        <w:rPr>
          <w:rFonts w:hint="eastAsia"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lang w:val="en-US" w:eastAsia="zh-CN"/>
        </w:rPr>
        <w:t>4.2.4</w:t>
      </w:r>
      <w:r>
        <w:rPr>
          <w:rFonts w:hint="eastAsia" w:ascii="宋体" w:hAnsi="宋体" w:eastAsia="宋体" w:cs="Times New Roman"/>
          <w:color w:val="000000"/>
          <w:sz w:val="24"/>
          <w:shd w:val="clear" w:color="auto" w:fill="FFFFFF"/>
        </w:rPr>
        <w:t>结算时间：甲方在收到合法发票之日起最迟不得超过6个月进行交易价款结算</w:t>
      </w:r>
    </w:p>
    <w:p w14:paraId="1C36920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选人将所供产品运送至交货地点，采购人、中选人双方共同拆箱，中选人根据租赁合同产品安装调试完成并移交所有资料文档后，由采购人负责接收，中选人应向采购人提供全套的材料/检验产品合格证、使用说明书及其它技术资料。产品租赁满一年后，采购人、中选人双方共同签署租赁验收相关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租赁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要求：如在租赁过程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p w14:paraId="1CB08006">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四、报价要求</w:t>
      </w:r>
    </w:p>
    <w:p w14:paraId="056B834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必须包含以下内容：设备5年租赁价格加预计5年耗材使用量价格（即15000人份*每人份检测所需耗材价格），其价格包含完成本合同约定所需的人工费、差旅（交通、住宿）费、餐费、专家费、保险、管理费、利润、税金等。如响应供应商漏报或不报，采购人将视为该漏报或不报部分的费用已包括在已报的报价中而不予支付。</w:t>
      </w:r>
    </w:p>
    <w:p w14:paraId="0222546B">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五、重要说明</w:t>
      </w:r>
    </w:p>
    <w:p w14:paraId="34310B9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（一）如因国家、省、市相关政策发生变化（如医用耗材集中采购、医联体医用耗材联盟采购等）或不可抗力因素导致本项目无法继续执行，采购人不承担任何责任，供应商自行承担由此带来的任何风险及后果。</w:t>
      </w:r>
    </w:p>
    <w:p w14:paraId="4189E3CB">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（二）本项目为报价分为耗材价格与设备租赁价格，耗材价格须包含租赁期间用于该检测项目所需的所有试剂、校准品、清洗液、质控品、反应杯等（各项均需单独报价）。</w:t>
      </w:r>
    </w:p>
    <w:p w14:paraId="29A3923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设备租赁价格包含设备安装、使用、维修养护、易损件更换、与我院lis系统对接（预计费用为8000元/台）、人力与技术支持等与本项目有关的一切费用。</w:t>
      </w:r>
    </w:p>
    <w:p w14:paraId="2EF648F7">
      <w:pP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（三）供应商所报租赁价格最高限价为10000元/年，试剂及配套耗材总费用限价为89.3元/人份，超出部分则视为无效报价。</w:t>
      </w:r>
    </w:p>
    <w:p w14:paraId="0702FF4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cs="Times New Roman"/>
          <w:bCs/>
          <w:szCs w:val="21"/>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四）采购人将定期对成交供应商的履约情况进行考核，如发现采购人实际每人份采购价格超出所报耗价格，采购人将对超出费用进行追缴，供应商须在接到采购人书面通知后7个工作日内将相关款项转入采购人指定账户，并对应下调相关耗材价格，否则，采购人有权终止项目合同，并由供应商承担违约责任（提供承诺函并加盖相应人公章，格式自拟）。</w:t>
      </w:r>
    </w:p>
    <w:p w14:paraId="7AD9D912">
      <w:pP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w:t>
      </w:r>
      <w:r>
        <w:rPr>
          <w:rFonts w:hint="eastAsia" w:cs="Tahoma"/>
          <w:b/>
          <w:color w:val="C00000"/>
          <w:kern w:val="28"/>
          <w:szCs w:val="24"/>
          <w:highlight w:val="none"/>
          <w:lang w:val="en-US" w:eastAsia="zh-CN"/>
        </w:rPr>
        <w:t>遴选</w:t>
      </w:r>
      <w:r>
        <w:rPr>
          <w:rFonts w:hint="eastAsia" w:cs="Tahoma"/>
          <w:b/>
          <w:color w:val="C00000"/>
          <w:kern w:val="28"/>
          <w:szCs w:val="24"/>
          <w:highlight w:val="none"/>
        </w:rPr>
        <w:t>活动采用综合评分法，技术商务分占</w:t>
      </w:r>
      <w:r>
        <w:rPr>
          <w:rFonts w:hint="eastAsia" w:cs="Tahoma"/>
          <w:b/>
          <w:color w:val="C00000"/>
          <w:kern w:val="28"/>
          <w:szCs w:val="24"/>
          <w:highlight w:val="none"/>
          <w:lang w:val="en-US" w:eastAsia="zh-CN"/>
        </w:rPr>
        <w:t>50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5</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供货能力</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6</w:t>
            </w:r>
          </w:p>
        </w:tc>
        <w:tc>
          <w:tcPr>
            <w:tcW w:w="8552" w:type="dxa"/>
            <w:noWrap w:val="0"/>
            <w:vAlign w:val="center"/>
          </w:tcPr>
          <w:p w14:paraId="01970149">
            <w:pPr>
              <w:tabs>
                <w:tab w:val="decimal" w:pos="315"/>
                <w:tab w:val="left" w:pos="630"/>
              </w:tabs>
              <w:spacing w:line="360" w:lineRule="auto"/>
              <w:rPr>
                <w:rFonts w:hint="eastAsia" w:ascii="宋体" w:hAnsi="宋体" w:cs="宋体"/>
                <w:sz w:val="20"/>
                <w:szCs w:val="20"/>
                <w:highlight w:val="none"/>
                <w:lang w:val="en-US" w:eastAsia="zh-CN"/>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供货能力承诺函》进行评审：</w:t>
            </w:r>
          </w:p>
          <w:p w14:paraId="0757EB44">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cs="宋体"/>
                <w:sz w:val="20"/>
                <w:szCs w:val="20"/>
                <w:highlight w:val="none"/>
                <w:lang w:val="en-US" w:eastAsia="zh-CN"/>
              </w:rPr>
              <w:t>1.耗材</w:t>
            </w:r>
            <w:r>
              <w:rPr>
                <w:rFonts w:hint="eastAsia" w:ascii="宋体" w:hAnsi="宋体" w:eastAsia="宋体" w:cs="宋体"/>
                <w:kern w:val="2"/>
                <w:sz w:val="20"/>
                <w:szCs w:val="20"/>
                <w:highlight w:val="none"/>
                <w:lang w:val="en-US" w:eastAsia="zh-CN" w:bidi="ar-SA"/>
              </w:rPr>
              <w:t>具备中山市本地仓储或配送能力</w:t>
            </w:r>
            <w:r>
              <w:rPr>
                <w:rFonts w:hint="eastAsia" w:ascii="宋体" w:hAnsi="宋体" w:cs="宋体"/>
                <w:kern w:val="2"/>
                <w:sz w:val="20"/>
                <w:szCs w:val="20"/>
                <w:highlight w:val="none"/>
                <w:lang w:val="en-US" w:eastAsia="zh-CN" w:bidi="ar-SA"/>
              </w:rPr>
              <w:t>，得6</w:t>
            </w:r>
            <w:r>
              <w:rPr>
                <w:rFonts w:hint="eastAsia" w:ascii="宋体" w:hAnsi="宋体" w:eastAsia="宋体" w:cs="宋体"/>
                <w:kern w:val="2"/>
                <w:sz w:val="20"/>
                <w:szCs w:val="20"/>
                <w:highlight w:val="none"/>
                <w:lang w:val="en-US" w:eastAsia="zh-CN" w:bidi="ar-SA"/>
              </w:rPr>
              <w:t>分；</w:t>
            </w:r>
          </w:p>
          <w:p w14:paraId="6C5750CD">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2.</w:t>
            </w:r>
            <w:r>
              <w:rPr>
                <w:rFonts w:hint="eastAsia" w:ascii="宋体" w:hAnsi="宋体" w:cs="宋体"/>
                <w:sz w:val="20"/>
                <w:szCs w:val="20"/>
                <w:highlight w:val="none"/>
                <w:lang w:val="en-US" w:eastAsia="zh-CN"/>
              </w:rPr>
              <w:t>耗材</w:t>
            </w:r>
            <w:r>
              <w:rPr>
                <w:rFonts w:hint="eastAsia" w:ascii="宋体" w:hAnsi="宋体" w:eastAsia="宋体" w:cs="宋体"/>
                <w:kern w:val="2"/>
                <w:sz w:val="20"/>
                <w:szCs w:val="20"/>
                <w:highlight w:val="none"/>
                <w:lang w:val="en-US" w:eastAsia="zh-CN" w:bidi="ar-SA"/>
              </w:rPr>
              <w:t>具备广东省（除中山市外）仓储或配送能力</w:t>
            </w:r>
            <w:r>
              <w:rPr>
                <w:rFonts w:hint="eastAsia" w:ascii="宋体" w:hAnsi="宋体" w:cs="宋体"/>
                <w:kern w:val="2"/>
                <w:sz w:val="20"/>
                <w:szCs w:val="20"/>
                <w:highlight w:val="none"/>
                <w:lang w:val="en-US" w:eastAsia="zh-CN" w:bidi="ar-SA"/>
              </w:rPr>
              <w:t>，得4</w:t>
            </w:r>
            <w:r>
              <w:rPr>
                <w:rFonts w:hint="eastAsia" w:ascii="宋体" w:hAnsi="宋体" w:eastAsia="宋体" w:cs="宋体"/>
                <w:kern w:val="2"/>
                <w:sz w:val="20"/>
                <w:szCs w:val="20"/>
                <w:highlight w:val="none"/>
                <w:lang w:val="en-US" w:eastAsia="zh-CN" w:bidi="ar-SA"/>
              </w:rPr>
              <w:t>分；</w:t>
            </w:r>
          </w:p>
          <w:p w14:paraId="4D1ED384">
            <w:pPr>
              <w:tabs>
                <w:tab w:val="decimal" w:pos="315"/>
                <w:tab w:val="left" w:pos="630"/>
              </w:tabs>
              <w:spacing w:line="360" w:lineRule="auto"/>
              <w:rPr>
                <w:rFonts w:hint="eastAsia" w:ascii="宋体" w:hAnsi="宋体" w:cs="宋体"/>
                <w:kern w:val="2"/>
                <w:sz w:val="20"/>
                <w:szCs w:val="20"/>
                <w:highlight w:val="none"/>
                <w:lang w:val="en-US" w:eastAsia="zh-CN" w:bidi="ar-SA"/>
              </w:rPr>
            </w:pPr>
            <w:r>
              <w:rPr>
                <w:rFonts w:hint="eastAsia" w:ascii="宋体" w:hAnsi="宋体" w:cs="宋体"/>
                <w:kern w:val="2"/>
                <w:sz w:val="20"/>
                <w:szCs w:val="20"/>
                <w:highlight w:val="none"/>
                <w:lang w:val="en-US" w:eastAsia="zh-CN" w:bidi="ar-SA"/>
              </w:rPr>
              <w:t>3.</w:t>
            </w:r>
            <w:r>
              <w:rPr>
                <w:rFonts w:hint="eastAsia" w:ascii="宋体" w:hAnsi="宋体" w:cs="宋体"/>
                <w:sz w:val="20"/>
                <w:szCs w:val="20"/>
                <w:highlight w:val="none"/>
                <w:lang w:val="en-US" w:eastAsia="zh-CN"/>
              </w:rPr>
              <w:t>耗材</w:t>
            </w:r>
            <w:r>
              <w:rPr>
                <w:rFonts w:hint="eastAsia" w:ascii="宋体" w:hAnsi="宋体" w:eastAsia="宋体" w:cs="宋体"/>
                <w:kern w:val="2"/>
                <w:sz w:val="20"/>
                <w:szCs w:val="20"/>
                <w:highlight w:val="none"/>
                <w:lang w:val="en-US" w:eastAsia="zh-CN" w:bidi="ar-SA"/>
              </w:rPr>
              <w:t>具备除广东省外仓储或配送能力</w:t>
            </w:r>
            <w:r>
              <w:rPr>
                <w:rFonts w:hint="eastAsia" w:ascii="宋体" w:hAnsi="宋体" w:cs="宋体"/>
                <w:kern w:val="2"/>
                <w:sz w:val="20"/>
                <w:szCs w:val="20"/>
                <w:highlight w:val="none"/>
                <w:lang w:val="en-US" w:eastAsia="zh-CN" w:bidi="ar-SA"/>
              </w:rPr>
              <w:t>，得2</w:t>
            </w:r>
            <w:r>
              <w:rPr>
                <w:rFonts w:hint="eastAsia" w:ascii="宋体" w:hAnsi="宋体" w:eastAsia="宋体" w:cs="宋体"/>
                <w:kern w:val="2"/>
                <w:sz w:val="20"/>
                <w:szCs w:val="20"/>
                <w:highlight w:val="none"/>
                <w:lang w:val="en-US" w:eastAsia="zh-CN" w:bidi="ar-SA"/>
              </w:rPr>
              <w:t>分</w:t>
            </w:r>
            <w:r>
              <w:rPr>
                <w:rFonts w:hint="eastAsia" w:ascii="宋体" w:hAnsi="宋体" w:cs="宋体"/>
                <w:kern w:val="2"/>
                <w:sz w:val="20"/>
                <w:szCs w:val="20"/>
                <w:highlight w:val="none"/>
                <w:lang w:val="en-US" w:eastAsia="zh-CN" w:bidi="ar-SA"/>
              </w:rPr>
              <w:t>。</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cs="宋体"/>
                <w:kern w:val="2"/>
                <w:sz w:val="20"/>
                <w:szCs w:val="20"/>
                <w:highlight w:val="none"/>
                <w:lang w:val="en-US" w:eastAsia="zh-CN" w:bidi="ar-SA"/>
              </w:rPr>
              <w:t>注：</w:t>
            </w:r>
            <w:r>
              <w:rPr>
                <w:rFonts w:hint="eastAsia" w:ascii="宋体" w:hAnsi="宋体" w:eastAsia="宋体" w:cs="宋体"/>
                <w:kern w:val="2"/>
                <w:sz w:val="20"/>
                <w:szCs w:val="20"/>
                <w:highlight w:val="none"/>
                <w:lang w:val="en-US" w:eastAsia="zh-CN" w:bidi="ar-SA"/>
              </w:rPr>
              <w:t>提供</w:t>
            </w:r>
            <w:r>
              <w:rPr>
                <w:rFonts w:hint="eastAsia" w:ascii="宋体" w:hAnsi="宋体" w:cs="宋体"/>
                <w:kern w:val="2"/>
                <w:sz w:val="20"/>
                <w:szCs w:val="20"/>
                <w:highlight w:val="none"/>
                <w:lang w:val="en-US" w:eastAsia="zh-CN" w:bidi="ar-SA"/>
              </w:rPr>
              <w:t>《</w:t>
            </w:r>
            <w:r>
              <w:rPr>
                <w:rFonts w:hint="eastAsia" w:ascii="宋体" w:hAnsi="宋体" w:cs="宋体"/>
                <w:sz w:val="20"/>
                <w:szCs w:val="20"/>
                <w:highlight w:val="none"/>
                <w:lang w:val="en-US" w:eastAsia="zh-CN"/>
              </w:rPr>
              <w:t>供货能力承诺函》并加盖响应人公章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承诺内容包括但不限于供货地点、</w:t>
            </w:r>
            <w:r>
              <w:rPr>
                <w:rFonts w:hint="eastAsia" w:ascii="宋体" w:hAnsi="宋体" w:eastAsia="宋体" w:cs="宋体"/>
                <w:kern w:val="2"/>
                <w:sz w:val="20"/>
                <w:szCs w:val="20"/>
                <w:highlight w:val="none"/>
                <w:lang w:val="en-US" w:eastAsia="zh-CN" w:bidi="ar-SA"/>
              </w:rPr>
              <w:t>按需供货、及时响应</w:t>
            </w:r>
            <w:r>
              <w:rPr>
                <w:rFonts w:hint="eastAsia" w:ascii="宋体" w:hAnsi="宋体" w:cs="宋体"/>
                <w:kern w:val="2"/>
                <w:sz w:val="20"/>
                <w:szCs w:val="20"/>
                <w:highlight w:val="none"/>
                <w:lang w:val="en-US" w:eastAsia="zh-CN" w:bidi="ar-SA"/>
              </w:rPr>
              <w:t>等内容，格式自拟</w:t>
            </w:r>
            <w:r>
              <w:rPr>
                <w:rFonts w:hint="eastAsia" w:ascii="宋体" w:hAnsi="宋体" w:eastAsia="宋体" w:cs="宋体"/>
                <w:kern w:val="2"/>
                <w:sz w:val="20"/>
                <w:szCs w:val="20"/>
                <w:highlight w:val="none"/>
                <w:lang w:val="en-US" w:eastAsia="zh-CN" w:bidi="ar-SA"/>
              </w:rPr>
              <w:t>；</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5</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根据响应人提供的《业绩情况一览表》</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w:t>
            </w:r>
            <w:r>
              <w:rPr>
                <w:rFonts w:hint="eastAsia" w:ascii="宋体" w:hAnsi="宋体" w:cs="宋体"/>
                <w:kern w:val="2"/>
                <w:sz w:val="20"/>
                <w:szCs w:val="20"/>
                <w:highlight w:val="none"/>
                <w:lang w:val="en-US" w:eastAsia="zh-CN" w:bidi="ar-SA"/>
              </w:rPr>
              <w:t>5</w:t>
            </w:r>
            <w:r>
              <w:rPr>
                <w:rFonts w:hint="eastAsia" w:ascii="宋体" w:hAnsi="宋体" w:eastAsia="宋体" w:cs="宋体"/>
                <w:kern w:val="2"/>
                <w:sz w:val="20"/>
                <w:szCs w:val="20"/>
                <w:highlight w:val="none"/>
                <w:lang w:val="en-US" w:eastAsia="zh-CN" w:bidi="ar-SA"/>
              </w:rPr>
              <w:t>分。</w:t>
            </w:r>
            <w:r>
              <w:rPr>
                <w:rFonts w:hint="eastAsia" w:ascii="宋体" w:hAnsi="宋体" w:cs="宋体"/>
                <w:kern w:val="2"/>
                <w:sz w:val="20"/>
                <w:szCs w:val="20"/>
                <w:highlight w:val="none"/>
                <w:lang w:val="en-US" w:eastAsia="zh-CN" w:bidi="ar-SA"/>
              </w:rPr>
              <w:t>注：</w:t>
            </w:r>
            <w:r>
              <w:rPr>
                <w:rFonts w:hint="eastAsia" w:ascii="宋体" w:hAnsi="宋体" w:eastAsia="宋体" w:cs="宋体"/>
                <w:kern w:val="2"/>
                <w:sz w:val="20"/>
                <w:szCs w:val="20"/>
                <w:highlight w:val="none"/>
                <w:lang w:val="en-US" w:eastAsia="zh-CN" w:bidi="ar-SA"/>
              </w:rPr>
              <w:t>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年1月1日以来本项目同类产品的合同或验收报告中任何一个证明文件为准。</w:t>
            </w:r>
          </w:p>
        </w:tc>
      </w:tr>
      <w:tr w14:paraId="7D88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9" w:type="dxa"/>
            <w:noWrap w:val="0"/>
            <w:vAlign w:val="center"/>
          </w:tcPr>
          <w:p w14:paraId="57DBC14B">
            <w:pPr>
              <w:widowControl/>
              <w:spacing w:line="360" w:lineRule="auto"/>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shd w:val="clear" w:color="000000" w:fill="FFFFFF"/>
            <w:noWrap w:val="0"/>
            <w:vAlign w:val="center"/>
          </w:tcPr>
          <w:p w14:paraId="29D1BA53">
            <w:pPr>
              <w:pStyle w:val="44"/>
              <w:spacing w:before="78" w:line="219" w:lineRule="auto"/>
              <w:ind w:left="29" w:leftChars="0"/>
              <w:jc w:val="center"/>
              <w:rPr>
                <w:rFonts w:hint="default" w:ascii="宋体" w:hAnsi="宋体" w:eastAsia="宋体" w:cs="宋体"/>
                <w:sz w:val="18"/>
                <w:szCs w:val="18"/>
                <w:lang w:val="en-US" w:eastAsia="zh-CN"/>
              </w:rPr>
            </w:pPr>
            <w:r>
              <w:rPr>
                <w:rFonts w:hint="eastAsia" w:cs="宋体"/>
                <w:sz w:val="18"/>
                <w:szCs w:val="18"/>
                <w:lang w:val="en-US" w:eastAsia="zh-CN"/>
              </w:rPr>
              <w:t>商务条款响应情况</w:t>
            </w:r>
          </w:p>
        </w:tc>
        <w:tc>
          <w:tcPr>
            <w:tcW w:w="781" w:type="dxa"/>
            <w:shd w:val="clear" w:color="000000" w:fill="FFFFFF"/>
            <w:noWrap w:val="0"/>
            <w:vAlign w:val="center"/>
          </w:tcPr>
          <w:p w14:paraId="39D10F94">
            <w:pPr>
              <w:tabs>
                <w:tab w:val="decimal" w:pos="315"/>
                <w:tab w:val="left" w:pos="630"/>
              </w:tabs>
              <w:autoSpaceDE w:val="0"/>
              <w:autoSpaceDN w:val="0"/>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7</w:t>
            </w:r>
          </w:p>
        </w:tc>
        <w:tc>
          <w:tcPr>
            <w:tcW w:w="8552" w:type="dxa"/>
            <w:shd w:val="clear" w:color="auto" w:fill="auto"/>
            <w:noWrap w:val="0"/>
            <w:vAlign w:val="center"/>
          </w:tcPr>
          <w:p w14:paraId="2134634E">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20"/>
                <w:szCs w:val="20"/>
                <w:highlight w:val="none"/>
                <w:lang w:eastAsia="zh-CN"/>
              </w:rPr>
              <w:t>《</w:t>
            </w:r>
            <w:r>
              <w:rPr>
                <w:rFonts w:hint="eastAsia" w:ascii="宋体" w:hAnsi="宋体" w:cs="宋体"/>
                <w:sz w:val="20"/>
                <w:szCs w:val="20"/>
                <w:highlight w:val="none"/>
              </w:rPr>
              <w:t>商务条款响应表</w:t>
            </w:r>
            <w:r>
              <w:rPr>
                <w:rFonts w:hint="eastAsia" w:ascii="宋体" w:hAnsi="宋体" w:cs="宋体"/>
                <w:sz w:val="20"/>
                <w:szCs w:val="20"/>
                <w:highlight w:val="none"/>
                <w:lang w:eastAsia="zh-CN"/>
              </w:rPr>
              <w:t>》（</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五</w:t>
            </w:r>
            <w:r>
              <w:rPr>
                <w:rFonts w:hint="eastAsia" w:ascii="宋体" w:hAnsi="宋体" w:cs="宋体"/>
                <w:sz w:val="20"/>
                <w:szCs w:val="20"/>
                <w:highlight w:val="none"/>
                <w:lang w:eastAsia="zh-CN"/>
              </w:rPr>
              <w:t>）</w:t>
            </w:r>
            <w:r>
              <w:rPr>
                <w:rFonts w:hint="eastAsia" w:ascii="宋体" w:hAnsi="宋体" w:cs="宋体"/>
                <w:sz w:val="20"/>
                <w:szCs w:val="20"/>
                <w:highlight w:val="none"/>
              </w:rPr>
              <w:t>各条款的响应程度进行评审</w:t>
            </w:r>
            <w:r>
              <w:rPr>
                <w:rFonts w:hint="eastAsia" w:ascii="宋体" w:hAnsi="宋体" w:eastAsia="宋体" w:cs="宋体"/>
                <w:sz w:val="20"/>
                <w:szCs w:val="20"/>
                <w:highlight w:val="none"/>
              </w:rPr>
              <w:t>：</w:t>
            </w:r>
            <w:r>
              <w:rPr>
                <w:rFonts w:hint="eastAsia" w:ascii="宋体" w:hAnsi="宋体" w:cs="宋体"/>
                <w:sz w:val="20"/>
                <w:szCs w:val="20"/>
                <w:highlight w:val="none"/>
              </w:rPr>
              <w:t>每满足一项得</w:t>
            </w:r>
            <w:r>
              <w:rPr>
                <w:rFonts w:hint="eastAsia" w:ascii="宋体" w:hAnsi="宋体" w:cs="宋体"/>
                <w:sz w:val="20"/>
                <w:szCs w:val="20"/>
                <w:highlight w:val="none"/>
                <w:lang w:val="en-US" w:eastAsia="zh-CN"/>
              </w:rPr>
              <w:t>0.5</w:t>
            </w:r>
            <w:r>
              <w:rPr>
                <w:rFonts w:hint="eastAsia" w:ascii="宋体" w:hAnsi="宋体" w:cs="宋体"/>
                <w:sz w:val="20"/>
                <w:szCs w:val="20"/>
                <w:highlight w:val="none"/>
              </w:rPr>
              <w:t>分，负偏离或不完全响应的不得分，最高得7分。</w:t>
            </w:r>
          </w:p>
          <w:p w14:paraId="4A4D3584">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p>
        </w:tc>
      </w:tr>
      <w:tr w14:paraId="67F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7E4E0280">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7E03F9B6">
            <w:pPr>
              <w:pStyle w:val="44"/>
              <w:spacing w:before="78" w:line="219" w:lineRule="auto"/>
              <w:ind w:left="29" w:leftChars="0"/>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18"/>
                <w:szCs w:val="18"/>
              </w:rPr>
              <w:t>重要技术参数“▲”响应情况</w:t>
            </w:r>
          </w:p>
        </w:tc>
        <w:tc>
          <w:tcPr>
            <w:tcW w:w="781" w:type="dxa"/>
            <w:shd w:val="clear" w:color="000000" w:fill="FFFFFF"/>
            <w:noWrap w:val="0"/>
            <w:vAlign w:val="center"/>
          </w:tcPr>
          <w:p w14:paraId="626EEDE5">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10</w:t>
            </w:r>
          </w:p>
        </w:tc>
        <w:tc>
          <w:tcPr>
            <w:tcW w:w="8552" w:type="dxa"/>
            <w:shd w:val="clear" w:color="auto" w:fill="auto"/>
            <w:noWrap w:val="0"/>
            <w:vAlign w:val="center"/>
          </w:tcPr>
          <w:p w14:paraId="5414E4EB">
            <w:pPr>
              <w:tabs>
                <w:tab w:val="decimal" w:pos="315"/>
                <w:tab w:val="left" w:pos="630"/>
              </w:tabs>
              <w:spacing w:line="360" w:lineRule="auto"/>
              <w:ind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18"/>
                <w:szCs w:val="18"/>
              </w:rPr>
              <w:t>重要技术参数“▲”响应情况</w:t>
            </w:r>
            <w:r>
              <w:rPr>
                <w:rFonts w:hint="eastAsia" w:ascii="宋体" w:hAnsi="宋体" w:eastAsia="宋体" w:cs="宋体"/>
                <w:sz w:val="20"/>
                <w:szCs w:val="20"/>
                <w:highlight w:val="none"/>
              </w:rPr>
              <w:t>表》</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四</w:t>
            </w:r>
            <w:r>
              <w:rPr>
                <w:rFonts w:hint="eastAsia" w:ascii="宋体" w:hAnsi="宋体" w:cs="宋体"/>
                <w:sz w:val="20"/>
                <w:szCs w:val="20"/>
                <w:highlight w:val="none"/>
              </w:rPr>
              <w:t>）</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53312E2D">
            <w:pPr>
              <w:tabs>
                <w:tab w:val="decimal" w:pos="315"/>
                <w:tab w:val="left" w:pos="630"/>
              </w:tabs>
              <w:spacing w:line="360" w:lineRule="auto"/>
              <w:ind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重要技术参数“▲”响应情况得分标准：</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每满足一项“▲”参数得</w:t>
            </w:r>
            <w:r>
              <w:rPr>
                <w:rFonts w:hint="eastAsia" w:ascii="宋体" w:hAnsi="宋体" w:cs="宋体"/>
                <w:color w:val="000000"/>
                <w:kern w:val="28"/>
                <w:sz w:val="20"/>
                <w:szCs w:val="20"/>
                <w:highlight w:val="none"/>
                <w:lang w:val="en-US" w:eastAsia="zh-CN" w:bidi="ar-SA"/>
              </w:rPr>
              <w:t>5</w:t>
            </w:r>
            <w:r>
              <w:rPr>
                <w:rFonts w:hint="eastAsia" w:ascii="宋体" w:hAnsi="宋体" w:eastAsia="宋体" w:cs="宋体"/>
                <w:color w:val="000000"/>
                <w:kern w:val="28"/>
                <w:sz w:val="20"/>
                <w:szCs w:val="20"/>
                <w:highlight w:val="none"/>
                <w:lang w:val="en-US" w:eastAsia="zh-CN" w:bidi="ar-SA"/>
              </w:rPr>
              <w:t>分，满分</w:t>
            </w:r>
            <w:r>
              <w:rPr>
                <w:rFonts w:hint="eastAsia" w:ascii="宋体" w:hAnsi="宋体" w:cs="宋体"/>
                <w:color w:val="000000"/>
                <w:kern w:val="28"/>
                <w:sz w:val="20"/>
                <w:szCs w:val="20"/>
                <w:highlight w:val="none"/>
                <w:lang w:val="en-US" w:eastAsia="zh-CN" w:bidi="ar-SA"/>
              </w:rPr>
              <w:t>10</w:t>
            </w:r>
            <w:r>
              <w:rPr>
                <w:rFonts w:hint="eastAsia" w:ascii="宋体" w:hAnsi="宋体" w:eastAsia="宋体" w:cs="宋体"/>
                <w:color w:val="000000"/>
                <w:kern w:val="28"/>
                <w:sz w:val="20"/>
                <w:szCs w:val="20"/>
                <w:highlight w:val="none"/>
                <w:lang w:val="en-US" w:eastAsia="zh-CN" w:bidi="ar-SA"/>
              </w:rPr>
              <w:t>分。</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需要提供的资料及注意事项：</w:t>
            </w:r>
          </w:p>
          <w:p w14:paraId="656076E9">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（1）若“▲”条款中须提供承诺函的，</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应在</w:t>
            </w:r>
            <w:r>
              <w:rPr>
                <w:rFonts w:hint="eastAsia" w:ascii="宋体" w:hAnsi="宋体" w:cs="宋体"/>
                <w:color w:val="000000"/>
                <w:kern w:val="28"/>
                <w:sz w:val="20"/>
                <w:szCs w:val="20"/>
                <w:highlight w:val="none"/>
                <w:lang w:val="en-US" w:eastAsia="zh-CN" w:bidi="ar-SA"/>
              </w:rPr>
              <w:t>响应文件</w:t>
            </w:r>
            <w:r>
              <w:rPr>
                <w:rFonts w:hint="eastAsia" w:ascii="宋体" w:hAnsi="宋体" w:eastAsia="宋体" w:cs="宋体"/>
                <w:color w:val="000000"/>
                <w:kern w:val="28"/>
                <w:sz w:val="20"/>
                <w:szCs w:val="20"/>
                <w:highlight w:val="none"/>
                <w:lang w:val="en-US" w:eastAsia="zh-CN" w:bidi="ar-SA"/>
              </w:rPr>
              <w:t>中提供承诺函并加盖</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公章，格式自拟；</w:t>
            </w:r>
          </w:p>
          <w:p w14:paraId="2F8BF50F">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（2）若“▲”条款中须提供证明材料的，</w:t>
            </w:r>
            <w:r>
              <w:rPr>
                <w:rFonts w:hint="eastAsia" w:ascii="宋体" w:hAnsi="宋体" w:cs="宋体"/>
                <w:color w:val="000000"/>
                <w:kern w:val="28"/>
                <w:sz w:val="20"/>
                <w:szCs w:val="20"/>
                <w:highlight w:val="none"/>
                <w:lang w:val="en-US" w:eastAsia="zh-CN" w:bidi="ar-SA"/>
              </w:rPr>
              <w:t>响应供应商</w:t>
            </w:r>
            <w:r>
              <w:rPr>
                <w:rFonts w:hint="eastAsia" w:ascii="宋体" w:hAnsi="宋体" w:eastAsia="宋体" w:cs="宋体"/>
                <w:color w:val="000000"/>
                <w:kern w:val="28"/>
                <w:sz w:val="20"/>
                <w:szCs w:val="20"/>
                <w:highlight w:val="none"/>
                <w:lang w:val="en-US" w:eastAsia="zh-CN" w:bidi="ar-SA"/>
              </w:rPr>
              <w:t>应在</w:t>
            </w:r>
            <w:r>
              <w:rPr>
                <w:rFonts w:hint="eastAsia" w:ascii="宋体" w:hAnsi="宋体" w:cs="宋体"/>
                <w:color w:val="000000"/>
                <w:kern w:val="28"/>
                <w:sz w:val="20"/>
                <w:szCs w:val="20"/>
                <w:highlight w:val="none"/>
                <w:lang w:val="en-US" w:eastAsia="zh-CN" w:bidi="ar-SA"/>
              </w:rPr>
              <w:t>响应文件</w:t>
            </w:r>
            <w:r>
              <w:rPr>
                <w:rFonts w:hint="eastAsia" w:ascii="宋体" w:hAnsi="宋体" w:eastAsia="宋体" w:cs="宋体"/>
                <w:color w:val="000000"/>
                <w:kern w:val="28"/>
                <w:sz w:val="20"/>
                <w:szCs w:val="20"/>
                <w:highlight w:val="none"/>
                <w:lang w:val="en-US" w:eastAsia="zh-CN" w:bidi="ar-SA"/>
              </w:rPr>
              <w:t>中按</w:t>
            </w:r>
            <w:r>
              <w:rPr>
                <w:rFonts w:hint="eastAsia" w:ascii="宋体" w:hAnsi="宋体" w:cs="宋体"/>
                <w:color w:val="000000"/>
                <w:kern w:val="28"/>
                <w:sz w:val="20"/>
                <w:szCs w:val="20"/>
                <w:highlight w:val="none"/>
                <w:lang w:val="en-US" w:eastAsia="zh-CN" w:bidi="ar-SA"/>
              </w:rPr>
              <w:t>本采购</w:t>
            </w:r>
            <w:r>
              <w:rPr>
                <w:rFonts w:hint="eastAsia" w:ascii="宋体" w:hAnsi="宋体" w:eastAsia="宋体" w:cs="宋体"/>
                <w:color w:val="000000"/>
                <w:kern w:val="28"/>
                <w:sz w:val="20"/>
                <w:szCs w:val="20"/>
                <w:highlight w:val="none"/>
                <w:lang w:val="en-US" w:eastAsia="zh-CN" w:bidi="ar-SA"/>
              </w:rPr>
              <w:t>文件“</w:t>
            </w:r>
            <w:r>
              <w:rPr>
                <w:rFonts w:hint="eastAsia" w:ascii="宋体" w:hAnsi="宋体" w:cs="宋体"/>
                <w:color w:val="000000"/>
                <w:kern w:val="28"/>
                <w:sz w:val="20"/>
                <w:szCs w:val="20"/>
                <w:highlight w:val="none"/>
              </w:rPr>
              <w:t>三、项目需求内容</w:t>
            </w:r>
            <w:r>
              <w:rPr>
                <w:rFonts w:hint="eastAsia" w:ascii="宋体" w:hAnsi="宋体" w:eastAsia="宋体" w:cs="宋体"/>
                <w:color w:val="000000"/>
                <w:kern w:val="28"/>
                <w:sz w:val="20"/>
                <w:szCs w:val="20"/>
                <w:highlight w:val="none"/>
                <w:lang w:val="en-US" w:eastAsia="zh-CN" w:bidi="ar-SA"/>
              </w:rPr>
              <w:t>”中的要求附上证明材料；</w:t>
            </w:r>
          </w:p>
          <w:p w14:paraId="462D2296">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color w:val="000000"/>
                <w:kern w:val="28"/>
                <w:sz w:val="20"/>
                <w:szCs w:val="20"/>
                <w:highlight w:val="none"/>
                <w:lang w:val="en-US" w:eastAsia="zh-CN" w:bidi="ar-SA"/>
              </w:rPr>
              <w:t>（3）没按要求填写或附上资料的，视为不满足，则对应条款不能得分。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5</w:t>
            </w:r>
          </w:p>
        </w:tc>
        <w:tc>
          <w:tcPr>
            <w:tcW w:w="1559" w:type="dxa"/>
            <w:noWrap w:val="0"/>
            <w:vAlign w:val="center"/>
          </w:tcPr>
          <w:p w14:paraId="6D28DE82">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rPr>
            </w:pPr>
            <w:r>
              <w:rPr>
                <w:rFonts w:hint="eastAsia" w:ascii="宋体" w:hAnsi="宋体" w:cs="宋体"/>
                <w:sz w:val="18"/>
                <w:szCs w:val="18"/>
              </w:rPr>
              <w:t>一般技术参数响应情况</w:t>
            </w:r>
          </w:p>
        </w:tc>
        <w:tc>
          <w:tcPr>
            <w:tcW w:w="781" w:type="dxa"/>
            <w:noWrap w:val="0"/>
            <w:vAlign w:val="center"/>
          </w:tcPr>
          <w:p w14:paraId="4A9AC77A">
            <w:pPr>
              <w:tabs>
                <w:tab w:val="decimal" w:pos="315"/>
                <w:tab w:val="left" w:pos="630"/>
              </w:tabs>
              <w:spacing w:line="360" w:lineRule="auto"/>
              <w:ind w:left="-77" w:leftChars="-37" w:right="-73" w:rightChars="-35"/>
              <w:jc w:val="center"/>
              <w:rPr>
                <w:rFonts w:hint="default" w:ascii="宋体" w:hAnsi="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12</w:t>
            </w:r>
          </w:p>
        </w:tc>
        <w:tc>
          <w:tcPr>
            <w:tcW w:w="8552" w:type="dxa"/>
            <w:noWrap w:val="0"/>
            <w:vAlign w:val="top"/>
          </w:tcPr>
          <w:p w14:paraId="7B29E1B7">
            <w:pPr>
              <w:tabs>
                <w:tab w:val="decimal" w:pos="315"/>
                <w:tab w:val="left" w:pos="630"/>
              </w:tabs>
              <w:spacing w:line="360" w:lineRule="auto"/>
              <w:ind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cs="宋体"/>
                <w:sz w:val="18"/>
                <w:szCs w:val="18"/>
              </w:rPr>
              <w:t>一般技术参数响应情况</w:t>
            </w:r>
            <w:r>
              <w:rPr>
                <w:rFonts w:hint="eastAsia" w:ascii="宋体" w:hAnsi="宋体" w:eastAsia="宋体" w:cs="宋体"/>
                <w:sz w:val="20"/>
                <w:szCs w:val="20"/>
                <w:highlight w:val="none"/>
              </w:rPr>
              <w:t>表》</w:t>
            </w:r>
            <w:r>
              <w:rPr>
                <w:rFonts w:hint="eastAsia" w:ascii="宋体" w:hAnsi="宋体" w:cs="宋体"/>
                <w:sz w:val="20"/>
                <w:szCs w:val="20"/>
                <w:highlight w:val="none"/>
              </w:rPr>
              <w:t>（参考本文件格式</w:t>
            </w:r>
            <w:r>
              <w:rPr>
                <w:rFonts w:hint="eastAsia" w:ascii="宋体" w:hAnsi="宋体" w:cs="宋体"/>
                <w:sz w:val="20"/>
                <w:szCs w:val="20"/>
                <w:highlight w:val="none"/>
                <w:lang w:val="en-US" w:eastAsia="zh-CN"/>
              </w:rPr>
              <w:t>四</w:t>
            </w:r>
            <w:r>
              <w:rPr>
                <w:rFonts w:hint="eastAsia" w:ascii="宋体" w:hAnsi="宋体" w:cs="宋体"/>
                <w:sz w:val="20"/>
                <w:szCs w:val="20"/>
                <w:highlight w:val="none"/>
              </w:rPr>
              <w:t>）</w:t>
            </w:r>
            <w:r>
              <w:rPr>
                <w:rFonts w:hint="eastAsia" w:ascii="宋体" w:hAnsi="宋体" w:cs="宋体"/>
                <w:sz w:val="20"/>
                <w:szCs w:val="20"/>
                <w:highlight w:val="none"/>
                <w:lang w:val="en-US" w:eastAsia="zh-CN"/>
              </w:rPr>
              <w:t>及证明材料</w:t>
            </w:r>
            <w:r>
              <w:rPr>
                <w:rFonts w:hint="eastAsia" w:ascii="宋体" w:hAnsi="宋体" w:eastAsia="宋体" w:cs="宋体"/>
                <w:sz w:val="20"/>
                <w:szCs w:val="20"/>
                <w:highlight w:val="none"/>
              </w:rPr>
              <w:t>进行评审：</w:t>
            </w:r>
          </w:p>
          <w:p w14:paraId="1EB6A322">
            <w:p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一般技术参数（“五、货物采购清单及其技术参数要求”中除“★”及“▲”之外的条款，共</w:t>
            </w:r>
            <w:r>
              <w:rPr>
                <w:rFonts w:hint="eastAsia" w:ascii="宋体" w:hAnsi="宋体" w:cs="宋体"/>
                <w:sz w:val="20"/>
                <w:szCs w:val="20"/>
                <w:highlight w:val="none"/>
                <w:lang w:val="en-US" w:eastAsia="zh-CN"/>
              </w:rPr>
              <w:t>8</w:t>
            </w:r>
            <w:r>
              <w:rPr>
                <w:rFonts w:hint="eastAsia" w:ascii="宋体" w:hAnsi="宋体" w:eastAsia="宋体" w:cs="宋体"/>
                <w:sz w:val="20"/>
                <w:szCs w:val="20"/>
                <w:highlight w:val="none"/>
                <w:lang w:val="en-US" w:eastAsia="zh-CN"/>
              </w:rPr>
              <w:t>项）响应情况得分标准：每有一项满足要求（无偏离或有正偏离的）得</w:t>
            </w:r>
            <w:r>
              <w:rPr>
                <w:rFonts w:hint="eastAsia" w:ascii="宋体" w:hAnsi="宋体" w:cs="宋体"/>
                <w:sz w:val="20"/>
                <w:szCs w:val="20"/>
                <w:highlight w:val="none"/>
                <w:lang w:val="en-US" w:eastAsia="zh-CN"/>
              </w:rPr>
              <w:t>1.5</w:t>
            </w:r>
            <w:r>
              <w:rPr>
                <w:rFonts w:hint="eastAsia" w:ascii="宋体" w:hAnsi="宋体" w:eastAsia="宋体" w:cs="宋体"/>
                <w:sz w:val="20"/>
                <w:szCs w:val="20"/>
                <w:highlight w:val="none"/>
                <w:lang w:val="en-US" w:eastAsia="zh-CN"/>
              </w:rPr>
              <w:t>分，存在不满足要求视为“负偏离”，不得分，最高</w:t>
            </w:r>
            <w:r>
              <w:rPr>
                <w:rFonts w:hint="eastAsia" w:ascii="宋体" w:hAnsi="宋体" w:cs="宋体"/>
                <w:sz w:val="20"/>
                <w:szCs w:val="20"/>
                <w:highlight w:val="none"/>
                <w:lang w:val="en-US" w:eastAsia="zh-CN"/>
              </w:rPr>
              <w:t>8</w:t>
            </w:r>
            <w:r>
              <w:rPr>
                <w:rFonts w:hint="eastAsia" w:ascii="宋体" w:hAnsi="宋体" w:eastAsia="宋体" w:cs="宋体"/>
                <w:sz w:val="20"/>
                <w:szCs w:val="20"/>
                <w:highlight w:val="none"/>
                <w:lang w:val="en-US" w:eastAsia="zh-CN"/>
              </w:rPr>
              <w:t>分。</w:t>
            </w:r>
          </w:p>
          <w:p w14:paraId="7FB95616">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注：（1）如采购需求中有明确要求提供证明资料的，需提供相关证明材料；（2）如采购需求中无明确要求提供证明材料的，则以</w:t>
            </w:r>
            <w:r>
              <w:rPr>
                <w:rFonts w:hint="eastAsia" w:ascii="宋体" w:hAnsi="宋体" w:cs="宋体"/>
                <w:sz w:val="20"/>
                <w:szCs w:val="20"/>
                <w:highlight w:val="none"/>
                <w:lang w:val="en-US" w:eastAsia="zh-CN"/>
              </w:rPr>
              <w:t>响应供应商响应文件</w:t>
            </w:r>
            <w:r>
              <w:rPr>
                <w:rFonts w:hint="eastAsia" w:ascii="宋体" w:hAnsi="宋体" w:eastAsia="宋体" w:cs="宋体"/>
                <w:sz w:val="20"/>
                <w:szCs w:val="20"/>
                <w:highlight w:val="none"/>
                <w:lang w:val="en-US" w:eastAsia="zh-CN"/>
              </w:rPr>
              <w:t>中的《技术和服务要求响应表》中（格式自拟）的响应情况填写内容为准，未填写的或参数不满足的都视为负偏离；（3）不提供证明材料或资料不全的，均不得分。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6</w:t>
            </w:r>
          </w:p>
        </w:tc>
        <w:tc>
          <w:tcPr>
            <w:tcW w:w="1559" w:type="dxa"/>
            <w:shd w:val="clear" w:color="auto" w:fill="auto"/>
            <w:noWrap w:val="0"/>
            <w:vAlign w:val="center"/>
          </w:tcPr>
          <w:p w14:paraId="26287A69">
            <w:pPr>
              <w:pStyle w:val="44"/>
              <w:spacing w:before="78" w:line="219" w:lineRule="auto"/>
              <w:ind w:left="29" w:leftChars="0"/>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售后服务</w:t>
            </w:r>
          </w:p>
        </w:tc>
        <w:tc>
          <w:tcPr>
            <w:tcW w:w="781" w:type="dxa"/>
            <w:shd w:val="clear" w:color="auto" w:fill="auto"/>
            <w:noWrap w:val="0"/>
            <w:vAlign w:val="center"/>
          </w:tcPr>
          <w:p w14:paraId="1C5C06D7">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5</w:t>
            </w:r>
          </w:p>
        </w:tc>
        <w:tc>
          <w:tcPr>
            <w:tcW w:w="8552" w:type="dxa"/>
            <w:shd w:val="clear" w:color="auto" w:fill="auto"/>
            <w:noWrap w:val="0"/>
            <w:vAlign w:val="center"/>
          </w:tcPr>
          <w:p w14:paraId="10CDE18C">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评审专家</w:t>
            </w:r>
            <w:r>
              <w:rPr>
                <w:rFonts w:hint="eastAsia" w:ascii="宋体" w:hAnsi="宋体" w:eastAsia="宋体" w:cs="宋体"/>
                <w:sz w:val="20"/>
                <w:szCs w:val="20"/>
                <w:highlight w:val="none"/>
              </w:rPr>
              <w:t>根据响应人提供的</w:t>
            </w:r>
            <w:r>
              <w:rPr>
                <w:rFonts w:hint="eastAsia" w:ascii="宋体" w:hAnsi="宋体" w:eastAsia="宋体" w:cs="宋体"/>
                <w:sz w:val="20"/>
                <w:szCs w:val="20"/>
                <w:highlight w:val="none"/>
                <w:lang w:eastAsia="zh-CN"/>
              </w:rPr>
              <w:t>《售后服务承诺书》</w:t>
            </w:r>
            <w:r>
              <w:rPr>
                <w:rFonts w:hint="eastAsia" w:ascii="宋体" w:hAnsi="宋体" w:eastAsia="宋体" w:cs="宋体"/>
                <w:sz w:val="20"/>
                <w:szCs w:val="20"/>
                <w:highlight w:val="none"/>
                <w:lang w:val="en-US" w:eastAsia="zh-CN"/>
              </w:rPr>
              <w:t>进行评审</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包括但不限于以下内容：①预防性维护保养；②故障维修、零配件更换；③联网数据接口；④提供备用设备</w:t>
            </w:r>
            <w:r>
              <w:rPr>
                <w:rFonts w:hint="eastAsia" w:ascii="宋体" w:hAnsi="宋体" w:eastAsia="宋体" w:cs="宋体"/>
                <w:sz w:val="20"/>
                <w:szCs w:val="20"/>
                <w:highlight w:val="none"/>
                <w:lang w:val="en-US" w:eastAsia="zh-CN"/>
              </w:rPr>
              <w:t>等</w:t>
            </w:r>
            <w:r>
              <w:rPr>
                <w:rFonts w:hint="eastAsia" w:ascii="宋体" w:hAnsi="宋体" w:eastAsia="宋体" w:cs="宋体"/>
                <w:sz w:val="20"/>
                <w:szCs w:val="20"/>
                <w:highlight w:val="none"/>
              </w:rPr>
              <w:t>。</w:t>
            </w:r>
          </w:p>
          <w:p w14:paraId="74E97388">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（1）</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包含</w:t>
            </w:r>
            <w:r>
              <w:rPr>
                <w:rFonts w:hint="eastAsia" w:ascii="宋体" w:hAnsi="宋体" w:eastAsia="宋体" w:cs="宋体"/>
                <w:sz w:val="20"/>
                <w:szCs w:val="20"/>
                <w:highlight w:val="none"/>
              </w:rPr>
              <w:t>上述全部</w:t>
            </w:r>
            <w:r>
              <w:rPr>
                <w:rFonts w:hint="eastAsia" w:ascii="宋体" w:hAnsi="宋体" w:cs="宋体"/>
                <w:sz w:val="20"/>
                <w:szCs w:val="20"/>
                <w:highlight w:val="none"/>
                <w:lang w:val="en-US" w:eastAsia="zh-CN"/>
              </w:rPr>
              <w:t>内容</w:t>
            </w:r>
            <w:r>
              <w:rPr>
                <w:rFonts w:hint="eastAsia" w:ascii="宋体" w:hAnsi="宋体" w:eastAsia="宋体" w:cs="宋体"/>
                <w:sz w:val="20"/>
                <w:szCs w:val="20"/>
                <w:highlight w:val="none"/>
              </w:rPr>
              <w:t>，售后服务方案详细完整，完全满足且优于</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rPr>
              <w:t xml:space="preserve">分； </w:t>
            </w:r>
          </w:p>
          <w:p w14:paraId="10C5C296">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（2）</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包含</w:t>
            </w:r>
            <w:r>
              <w:rPr>
                <w:rFonts w:hint="eastAsia" w:ascii="宋体" w:hAnsi="宋体" w:eastAsia="宋体" w:cs="宋体"/>
                <w:sz w:val="20"/>
                <w:szCs w:val="20"/>
                <w:highlight w:val="none"/>
              </w:rPr>
              <w:t>上述全部</w:t>
            </w:r>
            <w:r>
              <w:rPr>
                <w:rFonts w:hint="eastAsia" w:ascii="宋体" w:hAnsi="宋体" w:cs="宋体"/>
                <w:sz w:val="20"/>
                <w:szCs w:val="20"/>
                <w:highlight w:val="none"/>
                <w:lang w:val="en-US" w:eastAsia="zh-CN"/>
              </w:rPr>
              <w:t>内容</w:t>
            </w:r>
            <w:r>
              <w:rPr>
                <w:rFonts w:hint="eastAsia" w:ascii="宋体" w:hAnsi="宋体" w:eastAsia="宋体" w:cs="宋体"/>
                <w:sz w:val="20"/>
                <w:szCs w:val="20"/>
                <w:highlight w:val="none"/>
              </w:rPr>
              <w:t>，售后服务方案</w:t>
            </w:r>
            <w:r>
              <w:rPr>
                <w:rFonts w:hint="eastAsia" w:ascii="宋体" w:hAnsi="宋体" w:cs="宋体"/>
                <w:sz w:val="20"/>
                <w:szCs w:val="20"/>
                <w:highlight w:val="none"/>
                <w:lang w:val="en-US" w:eastAsia="zh-CN"/>
              </w:rPr>
              <w:t>一般详细</w:t>
            </w:r>
            <w:r>
              <w:rPr>
                <w:rFonts w:hint="eastAsia" w:ascii="宋体" w:hAnsi="宋体" w:eastAsia="宋体" w:cs="宋体"/>
                <w:sz w:val="20"/>
                <w:szCs w:val="20"/>
                <w:highlight w:val="none"/>
              </w:rPr>
              <w:t>完整，</w:t>
            </w:r>
            <w:r>
              <w:rPr>
                <w:rFonts w:hint="eastAsia" w:ascii="宋体" w:hAnsi="宋体" w:cs="宋体"/>
                <w:sz w:val="20"/>
                <w:szCs w:val="20"/>
                <w:highlight w:val="none"/>
                <w:lang w:val="en-US" w:eastAsia="zh-CN"/>
              </w:rPr>
              <w:t>基本</w:t>
            </w:r>
            <w:r>
              <w:rPr>
                <w:rFonts w:hint="eastAsia" w:ascii="宋体" w:hAnsi="宋体" w:eastAsia="宋体" w:cs="宋体"/>
                <w:sz w:val="20"/>
                <w:szCs w:val="20"/>
                <w:highlight w:val="none"/>
              </w:rPr>
              <w:t>满足</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rPr>
              <w:t xml:space="preserve">分； </w:t>
            </w:r>
          </w:p>
          <w:p w14:paraId="298FDE5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（3）</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仅包含</w:t>
            </w:r>
            <w:r>
              <w:rPr>
                <w:rFonts w:hint="eastAsia" w:ascii="宋体" w:hAnsi="宋体" w:eastAsia="宋体" w:cs="宋体"/>
                <w:sz w:val="20"/>
                <w:szCs w:val="20"/>
                <w:highlight w:val="none"/>
              </w:rPr>
              <w:t>上述</w:t>
            </w:r>
            <w:r>
              <w:rPr>
                <w:rFonts w:hint="eastAsia" w:ascii="宋体" w:hAnsi="宋体" w:cs="宋体"/>
                <w:sz w:val="20"/>
                <w:szCs w:val="20"/>
                <w:highlight w:val="none"/>
                <w:lang w:val="en-US" w:eastAsia="zh-CN"/>
              </w:rPr>
              <w:t>部分内容</w:t>
            </w:r>
            <w:r>
              <w:rPr>
                <w:rFonts w:hint="eastAsia" w:ascii="宋体" w:hAnsi="宋体" w:eastAsia="宋体" w:cs="宋体"/>
                <w:sz w:val="20"/>
                <w:szCs w:val="20"/>
                <w:highlight w:val="none"/>
              </w:rPr>
              <w:t>，售后服务方案不够详细完整不完全满足</w:t>
            </w:r>
            <w:r>
              <w:rPr>
                <w:rFonts w:hint="eastAsia" w:ascii="宋体" w:hAnsi="宋体" w:cs="宋体"/>
                <w:sz w:val="20"/>
                <w:szCs w:val="20"/>
                <w:highlight w:val="none"/>
                <w:lang w:val="en-US" w:eastAsia="zh-CN"/>
              </w:rPr>
              <w:t>采购人</w:t>
            </w:r>
            <w:r>
              <w:rPr>
                <w:rFonts w:hint="eastAsia" w:ascii="宋体" w:hAnsi="宋体" w:eastAsia="宋体" w:cs="宋体"/>
                <w:sz w:val="20"/>
                <w:szCs w:val="20"/>
                <w:highlight w:val="none"/>
              </w:rPr>
              <w:t>需求的，得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rPr>
              <w:t xml:space="preserve">分； </w:t>
            </w:r>
          </w:p>
          <w:p w14:paraId="391D32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rPr>
              <w:t>（4）</w:t>
            </w:r>
            <w:r>
              <w:rPr>
                <w:rFonts w:hint="eastAsia" w:ascii="宋体" w:hAnsi="宋体" w:cs="宋体"/>
                <w:sz w:val="20"/>
                <w:szCs w:val="20"/>
                <w:highlight w:val="none"/>
                <w:lang w:val="en-US" w:eastAsia="zh-CN"/>
              </w:rPr>
              <w:t>未提供</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的，</w:t>
            </w:r>
            <w:r>
              <w:rPr>
                <w:rFonts w:hint="eastAsia" w:ascii="宋体" w:hAnsi="宋体" w:eastAsia="宋体" w:cs="宋体"/>
                <w:sz w:val="20"/>
                <w:szCs w:val="20"/>
                <w:highlight w:val="none"/>
              </w:rPr>
              <w:t>得0分。</w:t>
            </w:r>
          </w:p>
          <w:p w14:paraId="5EC6A83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注：</w:t>
            </w:r>
            <w:r>
              <w:rPr>
                <w:rFonts w:hint="eastAsia" w:ascii="宋体" w:hAnsi="宋体" w:eastAsia="宋体" w:cs="宋体"/>
                <w:kern w:val="2"/>
                <w:sz w:val="20"/>
                <w:szCs w:val="20"/>
                <w:highlight w:val="none"/>
                <w:lang w:val="en-US" w:eastAsia="zh-CN" w:bidi="ar-SA"/>
              </w:rPr>
              <w:t>提供</w:t>
            </w:r>
            <w:r>
              <w:rPr>
                <w:rFonts w:hint="eastAsia" w:ascii="宋体" w:hAnsi="宋体" w:eastAsia="宋体" w:cs="宋体"/>
                <w:sz w:val="20"/>
                <w:szCs w:val="20"/>
                <w:highlight w:val="none"/>
                <w:lang w:eastAsia="zh-CN"/>
              </w:rPr>
              <w:t>《售后服务承诺书》</w:t>
            </w:r>
            <w:r>
              <w:rPr>
                <w:rFonts w:hint="eastAsia" w:ascii="宋体" w:hAnsi="宋体" w:cs="宋体"/>
                <w:sz w:val="20"/>
                <w:szCs w:val="20"/>
                <w:highlight w:val="none"/>
                <w:lang w:val="en-US" w:eastAsia="zh-CN"/>
              </w:rPr>
              <w:t>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格式自拟。</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581D05BD">
            <w:pPr>
              <w:tabs>
                <w:tab w:val="decimal" w:pos="315"/>
                <w:tab w:val="left" w:pos="630"/>
              </w:tabs>
              <w:spacing w:line="360" w:lineRule="auto"/>
              <w:ind w:left="-77" w:leftChars="-37" w:right="-73" w:rightChars="-35"/>
              <w:jc w:val="center"/>
              <w:rPr>
                <w:rFonts w:hint="eastAsia" w:ascii="宋体" w:hAnsi="宋体" w:cs="宋体"/>
                <w:sz w:val="18"/>
                <w:szCs w:val="18"/>
              </w:rPr>
            </w:pPr>
            <w:r>
              <w:rPr>
                <w:rFonts w:hint="eastAsia" w:ascii="宋体" w:hAnsi="宋体" w:cs="宋体"/>
                <w:sz w:val="18"/>
                <w:szCs w:val="18"/>
                <w:lang w:val="en-US" w:eastAsia="zh-CN"/>
              </w:rPr>
              <w:t>技术支持与</w:t>
            </w:r>
          </w:p>
          <w:p w14:paraId="01493B66">
            <w:pPr>
              <w:tabs>
                <w:tab w:val="decimal" w:pos="315"/>
                <w:tab w:val="left" w:pos="630"/>
              </w:tabs>
              <w:spacing w:line="360" w:lineRule="auto"/>
              <w:ind w:left="-77" w:leftChars="-37" w:right="-73" w:rightChars="-35"/>
              <w:jc w:val="center"/>
              <w:rPr>
                <w:rFonts w:hint="eastAsia" w:ascii="宋体" w:hAnsi="宋体" w:cs="宋体"/>
                <w:sz w:val="18"/>
                <w:szCs w:val="18"/>
              </w:rPr>
            </w:pPr>
            <w:r>
              <w:rPr>
                <w:rFonts w:hint="eastAsia" w:ascii="宋体" w:hAnsi="宋体" w:cs="宋体"/>
                <w:sz w:val="18"/>
                <w:szCs w:val="18"/>
                <w:lang w:val="en-US" w:eastAsia="zh-CN"/>
              </w:rPr>
              <w:t>培训</w:t>
            </w:r>
          </w:p>
          <w:p w14:paraId="7EA77029">
            <w:pPr>
              <w:tabs>
                <w:tab w:val="decimal" w:pos="315"/>
                <w:tab w:val="left" w:pos="630"/>
              </w:tabs>
              <w:spacing w:line="360" w:lineRule="auto"/>
              <w:ind w:left="-77" w:leftChars="-37" w:right="-73" w:rightChars="-35"/>
              <w:jc w:val="both"/>
              <w:rPr>
                <w:rFonts w:hint="eastAsia" w:ascii="宋体" w:hAnsi="宋体" w:eastAsia="宋体" w:cs="宋体"/>
                <w:sz w:val="20"/>
                <w:szCs w:val="20"/>
                <w:highlight w:val="none"/>
                <w:lang w:val="en-US" w:eastAsia="zh-CN"/>
              </w:rPr>
            </w:pP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8552" w:type="dxa"/>
            <w:noWrap w:val="0"/>
            <w:vAlign w:val="center"/>
          </w:tcPr>
          <w:p w14:paraId="3D103A00">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评审专家根据响应人针对本项目制定的</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技术</w:t>
            </w:r>
            <w:r>
              <w:rPr>
                <w:rFonts w:hint="eastAsia" w:ascii="宋体" w:hAnsi="宋体" w:cs="宋体"/>
                <w:sz w:val="20"/>
                <w:szCs w:val="20"/>
                <w:highlight w:val="none"/>
                <w:lang w:val="en-US" w:eastAsia="zh-CN"/>
              </w:rPr>
              <w:t>支持与</w:t>
            </w:r>
            <w:r>
              <w:rPr>
                <w:rFonts w:hint="eastAsia" w:ascii="宋体" w:hAnsi="宋体" w:eastAsia="宋体" w:cs="宋体"/>
                <w:sz w:val="20"/>
                <w:szCs w:val="20"/>
                <w:highlight w:val="none"/>
                <w:lang w:val="en-US" w:eastAsia="zh-CN"/>
              </w:rPr>
              <w:t>培训方案</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进行评审</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rPr>
              <w:t>包括但不限于以下内容：</w:t>
            </w:r>
            <w:r>
              <w:rPr>
                <w:rFonts w:hint="eastAsia" w:ascii="宋体" w:hAnsi="宋体" w:eastAsia="宋体" w:cs="宋体"/>
                <w:sz w:val="20"/>
                <w:szCs w:val="20"/>
                <w:highlight w:val="none"/>
                <w:lang w:val="en-US" w:eastAsia="zh-CN"/>
              </w:rPr>
              <w:t>①技术培训组织形式、②培训流程、③培训内容</w:t>
            </w:r>
            <w:r>
              <w:rPr>
                <w:rFonts w:hint="eastAsia" w:ascii="宋体" w:hAnsi="宋体" w:cs="宋体"/>
                <w:sz w:val="20"/>
                <w:szCs w:val="20"/>
                <w:highlight w:val="none"/>
                <w:lang w:val="en-US" w:eastAsia="zh-CN"/>
              </w:rPr>
              <w:t>等</w:t>
            </w:r>
            <w:r>
              <w:rPr>
                <w:rFonts w:hint="eastAsia" w:ascii="宋体" w:hAnsi="宋体" w:eastAsia="宋体" w:cs="宋体"/>
                <w:sz w:val="20"/>
                <w:szCs w:val="20"/>
                <w:highlight w:val="none"/>
                <w:lang w:val="en-US" w:eastAsia="zh-CN"/>
              </w:rPr>
              <w:t xml:space="preserve"> </w:t>
            </w:r>
          </w:p>
          <w:p w14:paraId="1A581B39">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完全覆盖上述全部要求并提供相应方案，方案内容详细，有清晰的组织形式、培训流程安排，详细列出培训涵盖的内容，质量保障内容清晰可行，有利于项目实施的，完全满足且优于用户需求的，得</w:t>
            </w:r>
            <w:r>
              <w:rPr>
                <w:rFonts w:hint="eastAsia" w:ascii="宋体" w:hAnsi="宋体" w:cs="宋体"/>
                <w:sz w:val="20"/>
                <w:szCs w:val="20"/>
                <w:highlight w:val="none"/>
                <w:lang w:val="en-US" w:eastAsia="zh-CN"/>
              </w:rPr>
              <w:t>5</w:t>
            </w:r>
            <w:r>
              <w:rPr>
                <w:rFonts w:hint="eastAsia" w:ascii="宋体" w:hAnsi="宋体" w:eastAsia="宋体" w:cs="宋体"/>
                <w:sz w:val="20"/>
                <w:szCs w:val="20"/>
                <w:highlight w:val="none"/>
                <w:lang w:val="en-US" w:eastAsia="zh-CN"/>
              </w:rPr>
              <w:t xml:space="preserve">分； </w:t>
            </w:r>
          </w:p>
          <w:p w14:paraId="4F4C1CC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（2）完全覆盖上述全部要求并提供相应方案，方案内容较详细，列出基本的组织形式、培训流程安排，简要列出培训涵盖的内容，质量保障内容基本清晰可行，有利于项目实施的，</w:t>
            </w:r>
            <w:r>
              <w:rPr>
                <w:rFonts w:hint="eastAsia" w:ascii="宋体" w:hAnsi="宋体" w:cs="宋体"/>
                <w:sz w:val="20"/>
                <w:szCs w:val="20"/>
                <w:highlight w:val="none"/>
                <w:lang w:val="en-US" w:eastAsia="zh-CN"/>
              </w:rPr>
              <w:t>基本</w:t>
            </w:r>
            <w:r>
              <w:rPr>
                <w:rFonts w:hint="eastAsia" w:ascii="宋体" w:hAnsi="宋体" w:eastAsia="宋体" w:cs="宋体"/>
                <w:sz w:val="20"/>
                <w:szCs w:val="20"/>
                <w:highlight w:val="none"/>
                <w:lang w:val="en-US" w:eastAsia="zh-CN"/>
              </w:rPr>
              <w:t>满足用户需求的，得</w:t>
            </w:r>
            <w:r>
              <w:rPr>
                <w:rFonts w:hint="eastAsia" w:ascii="宋体" w:hAnsi="宋体" w:cs="宋体"/>
                <w:sz w:val="20"/>
                <w:szCs w:val="20"/>
                <w:highlight w:val="none"/>
                <w:lang w:val="en-US" w:eastAsia="zh-CN"/>
              </w:rPr>
              <w:t>3</w:t>
            </w:r>
            <w:r>
              <w:rPr>
                <w:rFonts w:hint="eastAsia" w:ascii="宋体" w:hAnsi="宋体" w:eastAsia="宋体" w:cs="宋体"/>
                <w:sz w:val="20"/>
                <w:szCs w:val="20"/>
                <w:highlight w:val="none"/>
                <w:lang w:val="en-US" w:eastAsia="zh-CN"/>
              </w:rPr>
              <w:t xml:space="preserve">分； </w:t>
            </w:r>
          </w:p>
          <w:p w14:paraId="0C7BC8E7">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（3）没有完全覆盖上述全部要求，方案内容简陋，未列出组织形式、培训流程安排，列出部分培训内容，质量保障内容不清晰，方案内容不利于项目实施，不完全满足用户需求的，得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val="en-US" w:eastAsia="zh-CN"/>
              </w:rPr>
              <w:t xml:space="preserve">分； </w:t>
            </w:r>
          </w:p>
          <w:p w14:paraId="69A9FC17">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（4）无提供或其他不得分。</w:t>
            </w:r>
          </w:p>
          <w:p w14:paraId="16A3C070">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注：</w:t>
            </w:r>
            <w:r>
              <w:rPr>
                <w:rFonts w:hint="eastAsia" w:ascii="宋体" w:hAnsi="宋体" w:eastAsia="宋体" w:cs="宋体"/>
                <w:kern w:val="2"/>
                <w:sz w:val="20"/>
                <w:szCs w:val="20"/>
                <w:highlight w:val="none"/>
                <w:lang w:val="en-US" w:eastAsia="zh-CN" w:bidi="ar-SA"/>
              </w:rPr>
              <w:t>提供</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技术</w:t>
            </w:r>
            <w:r>
              <w:rPr>
                <w:rFonts w:hint="eastAsia" w:ascii="宋体" w:hAnsi="宋体" w:cs="宋体"/>
                <w:sz w:val="20"/>
                <w:szCs w:val="20"/>
                <w:highlight w:val="none"/>
                <w:lang w:val="en-US" w:eastAsia="zh-CN"/>
              </w:rPr>
              <w:t>支持与</w:t>
            </w:r>
            <w:r>
              <w:rPr>
                <w:rFonts w:hint="eastAsia" w:ascii="宋体" w:hAnsi="宋体" w:eastAsia="宋体" w:cs="宋体"/>
                <w:sz w:val="20"/>
                <w:szCs w:val="20"/>
                <w:highlight w:val="none"/>
                <w:lang w:val="en-US" w:eastAsia="zh-CN"/>
              </w:rPr>
              <w:t>培训方案</w:t>
            </w:r>
            <w:r>
              <w:rPr>
                <w:rFonts w:hint="eastAsia" w:ascii="宋体" w:hAnsi="宋体" w:cs="宋体"/>
                <w:sz w:val="20"/>
                <w:szCs w:val="20"/>
                <w:highlight w:val="none"/>
                <w:lang w:val="en-US" w:eastAsia="zh-CN"/>
              </w:rPr>
              <w:t>》并加盖响应人公章</w:t>
            </w:r>
            <w:r>
              <w:rPr>
                <w:rFonts w:hint="eastAsia" w:ascii="宋体" w:hAnsi="宋体" w:eastAsia="宋体" w:cs="宋体"/>
                <w:kern w:val="2"/>
                <w:sz w:val="20"/>
                <w:szCs w:val="20"/>
                <w:highlight w:val="none"/>
                <w:lang w:val="en-US" w:eastAsia="zh-CN" w:bidi="ar-SA"/>
              </w:rPr>
              <w:t>，</w:t>
            </w:r>
            <w:r>
              <w:rPr>
                <w:rFonts w:hint="eastAsia" w:ascii="宋体" w:hAnsi="宋体" w:cs="宋体"/>
                <w:kern w:val="2"/>
                <w:sz w:val="20"/>
                <w:szCs w:val="20"/>
                <w:highlight w:val="none"/>
                <w:lang w:val="en-US" w:eastAsia="zh-CN" w:bidi="ar-SA"/>
              </w:rPr>
              <w:t>格式自拟。</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r>
    </w:tbl>
    <w:p w14:paraId="3E8339B9">
      <w:pPr>
        <w:pStyle w:val="2"/>
        <w:rPr>
          <w:rFonts w:hint="eastAsia" w:ascii="宋体" w:hAnsi="宋体"/>
          <w:iCs/>
          <w:sz w:val="30"/>
          <w:szCs w:val="30"/>
          <w:highlight w:val="yellow"/>
        </w:rPr>
      </w:pPr>
    </w:p>
    <w:p w14:paraId="30D3E95D">
      <w:pPr>
        <w:rPr>
          <w:rFonts w:hint="eastAsia"/>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sz w:val="20"/>
                <w:szCs w:val="20"/>
                <w:highlight w:val="none"/>
              </w:rPr>
            </w:pPr>
            <w:r>
              <w:rPr>
                <w:rFonts w:hint="eastAsia" w:ascii="宋体" w:hAnsi="宋体" w:eastAsia="宋体" w:cs="宋体"/>
                <w:bCs/>
                <w:sz w:val="20"/>
                <w:szCs w:val="20"/>
                <w:highlight w:val="none"/>
              </w:rPr>
              <w:t>价格得分</w:t>
            </w:r>
          </w:p>
        </w:tc>
        <w:tc>
          <w:tcPr>
            <w:tcW w:w="900" w:type="dxa"/>
            <w:noWrap w:val="0"/>
            <w:vAlign w:val="center"/>
          </w:tcPr>
          <w:p w14:paraId="2DD62B6F">
            <w:pPr>
              <w:spacing w:line="360" w:lineRule="auto"/>
              <w:ind w:firstLine="200" w:firstLineChars="100"/>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5</w:t>
            </w:r>
            <w:r>
              <w:rPr>
                <w:rFonts w:hint="eastAsia" w:ascii="宋体" w:hAnsi="宋体" w:eastAsia="宋体" w:cs="宋体"/>
                <w:bCs/>
                <w:sz w:val="20"/>
                <w:szCs w:val="20"/>
                <w:highlight w:val="none"/>
              </w:rPr>
              <w:t>0</w:t>
            </w:r>
          </w:p>
        </w:tc>
        <w:tc>
          <w:tcPr>
            <w:tcW w:w="8418" w:type="dxa"/>
            <w:noWrap w:val="0"/>
            <w:vAlign w:val="center"/>
          </w:tcPr>
          <w:p w14:paraId="54A62E51">
            <w:pPr>
              <w:spacing w:line="360" w:lineRule="auto"/>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填写本遴选文件格式三《报价一览表》《报价明细表》；响应</w:t>
            </w:r>
            <w:r>
              <w:rPr>
                <w:rFonts w:hint="eastAsia" w:ascii="宋体" w:hAnsi="宋体" w:eastAsia="宋体" w:cs="宋体"/>
                <w:bCs/>
                <w:sz w:val="20"/>
                <w:szCs w:val="20"/>
                <w:highlight w:val="none"/>
              </w:rPr>
              <w:t>价格</w:t>
            </w:r>
            <w:r>
              <w:rPr>
                <w:rFonts w:hint="eastAsia" w:ascii="宋体" w:hAnsi="宋体" w:cs="宋体"/>
                <w:bCs/>
                <w:sz w:val="20"/>
                <w:szCs w:val="20"/>
                <w:highlight w:val="none"/>
                <w:lang w:val="en-US" w:eastAsia="zh-CN"/>
              </w:rPr>
              <w:t>得分＝（评标基准价/响应报价）×价格分值【注：满足遴选文件要求且响应价格最低的响应报价为评标基准价。】</w:t>
            </w:r>
          </w:p>
        </w:tc>
      </w:tr>
      <w:tr w14:paraId="5DF8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038" w:type="dxa"/>
            <w:gridSpan w:val="4"/>
            <w:noWrap w:val="0"/>
            <w:vAlign w:val="center"/>
          </w:tcPr>
          <w:p w14:paraId="727B828D">
            <w:pPr>
              <w:spacing w:line="360" w:lineRule="auto"/>
              <w:rPr>
                <w:rFonts w:hint="default" w:ascii="宋体" w:hAnsi="宋体" w:cs="宋体"/>
                <w:bCs/>
                <w:sz w:val="20"/>
                <w:szCs w:val="20"/>
                <w:highlight w:val="none"/>
                <w:lang w:val="en-US" w:eastAsia="zh-CN"/>
              </w:rPr>
            </w:pPr>
            <w:r>
              <w:rPr>
                <w:rFonts w:hint="eastAsia" w:ascii="宋体" w:hAnsi="宋体" w:cs="宋体"/>
                <w:bCs/>
                <w:sz w:val="20"/>
                <w:szCs w:val="20"/>
                <w:highlight w:val="none"/>
                <w:lang w:val="en-US" w:eastAsia="zh-CN"/>
              </w:rPr>
              <w:t>备注：响应价格=5年租赁费用+15000人份*</w:t>
            </w:r>
            <w:r>
              <w:rPr>
                <w:rFonts w:hint="eastAsia" w:ascii="宋体" w:hAnsi="宋体" w:cs="宋体"/>
                <w:bCs/>
                <w:sz w:val="20"/>
                <w:szCs w:val="20"/>
                <w:highlight w:val="none"/>
              </w:rPr>
              <w:t>每人份检测所需耗材价格</w:t>
            </w:r>
            <w:r>
              <w:rPr>
                <w:rFonts w:hint="eastAsia" w:ascii="宋体" w:hAnsi="宋体" w:cs="宋体"/>
                <w:bCs/>
                <w:sz w:val="20"/>
                <w:szCs w:val="20"/>
                <w:highlight w:val="none"/>
                <w:lang w:val="en-US" w:eastAsia="zh-CN"/>
              </w:rPr>
              <w:t>,租赁价格最高限价为10000元/年，试剂及配套耗材总费用限价为89.3元/人份，超出部分则视为无效报价。</w:t>
            </w:r>
          </w:p>
        </w:tc>
      </w:tr>
    </w:tbl>
    <w:p w14:paraId="03401B24">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1CD5FA12">
      <w:pPr>
        <w:rPr>
          <w:rFonts w:hint="eastAsia" w:ascii="Times New Roman"/>
          <w:b/>
          <w:kern w:val="2"/>
          <w:sz w:val="36"/>
          <w:szCs w:val="36"/>
          <w:highlight w:val="none"/>
          <w:lang w:val="en-US" w:eastAsia="zh-CN"/>
        </w:rPr>
      </w:pPr>
      <w:r>
        <w:rPr>
          <w:rFonts w:hint="eastAsia" w:ascii="Times New Roman"/>
          <w:b/>
          <w:kern w:val="2"/>
          <w:sz w:val="36"/>
          <w:szCs w:val="36"/>
          <w:highlight w:val="none"/>
          <w:lang w:val="en-US" w:eastAsia="zh-CN"/>
        </w:rPr>
        <w:br w:type="page"/>
      </w: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梁</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65A5358F">
      <w:pPr>
        <w:widowControl/>
        <w:spacing w:line="360" w:lineRule="auto"/>
        <w:jc w:val="center"/>
        <w:rPr>
          <w:rFonts w:hint="default" w:ascii="宋体" w:hAnsi="宋体" w:eastAsia="宋体" w:cs="Times New Roman"/>
          <w:b/>
          <w:color w:val="000000"/>
          <w:sz w:val="32"/>
          <w:szCs w:val="32"/>
          <w:shd w:val="clear" w:color="auto" w:fill="FFFFFF"/>
          <w:lang w:val="en-US" w:eastAsia="zh-CN"/>
        </w:rPr>
      </w:pPr>
      <w:r>
        <w:rPr>
          <w:rFonts w:hint="eastAsia" w:ascii="宋体" w:hAnsi="宋体" w:cs="Times New Roman"/>
          <w:b/>
          <w:color w:val="000000"/>
          <w:sz w:val="32"/>
          <w:szCs w:val="32"/>
          <w:shd w:val="clear" w:color="auto" w:fill="FFFFFF"/>
          <w:lang w:val="en-US" w:eastAsia="zh-CN"/>
        </w:rPr>
        <w:t>设备租赁合同</w:t>
      </w:r>
    </w:p>
    <w:p w14:paraId="4A6EE04A">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设备租赁服务合同</w:t>
      </w:r>
    </w:p>
    <w:p w14:paraId="6AC1176B">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 xml:space="preserve">项目编号：    </w:t>
      </w:r>
    </w:p>
    <w:p w14:paraId="30A261B0">
      <w:pPr>
        <w:widowControl/>
        <w:spacing w:line="360" w:lineRule="auto"/>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 xml:space="preserve"> </w:t>
      </w:r>
    </w:p>
    <w:p w14:paraId="08A9D4BF">
      <w:pPr>
        <w:widowControl/>
        <w:spacing w:line="360" w:lineRule="auto"/>
        <w:ind w:firstLine="480" w:firstLineChars="200"/>
        <w:jc w:val="left"/>
        <w:rPr>
          <w:rFonts w:hint="eastAsia" w:ascii="宋体" w:hAnsi="宋体"/>
          <w:b w:val="0"/>
          <w:bCs w:val="0"/>
          <w:color w:val="000000"/>
          <w:sz w:val="24"/>
          <w:szCs w:val="24"/>
          <w:shd w:val="clear" w:color="auto" w:fill="FFFFFF"/>
          <w:lang w:val="en-US" w:eastAsia="zh-CN"/>
        </w:rPr>
      </w:pPr>
      <w:r>
        <w:rPr>
          <w:rFonts w:hint="eastAsia" w:ascii="宋体" w:hAnsi="宋体"/>
          <w:b w:val="0"/>
          <w:bCs w:val="0"/>
          <w:color w:val="000000"/>
          <w:sz w:val="24"/>
          <w:szCs w:val="24"/>
          <w:shd w:val="clear" w:color="auto" w:fill="FFFFFF"/>
        </w:rPr>
        <w:t>签约地：</w:t>
      </w:r>
      <w:r>
        <w:rPr>
          <w:rFonts w:hint="eastAsia" w:ascii="宋体" w:hAnsi="宋体"/>
          <w:b w:val="0"/>
          <w:bCs w:val="0"/>
          <w:color w:val="000000"/>
          <w:sz w:val="24"/>
          <w:szCs w:val="24"/>
          <w:shd w:val="clear" w:color="auto" w:fill="FFFFFF"/>
          <w:lang w:val="en-US" w:eastAsia="zh-CN"/>
        </w:rPr>
        <w:t xml:space="preserve">      </w:t>
      </w:r>
    </w:p>
    <w:p w14:paraId="39BA59D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甲方：</w:t>
      </w:r>
    </w:p>
    <w:p w14:paraId="76F2694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乙方：   </w:t>
      </w:r>
    </w:p>
    <w:p w14:paraId="2AF865A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1. 甲乙双方根据《中华人民共和国民法典》及相关法律法规，在平等互利、协商一致的基础上，订立本合同，供双方共同遵守： </w:t>
      </w:r>
    </w:p>
    <w:p w14:paraId="367CEC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租赁设备</w:t>
      </w:r>
      <w:r>
        <w:rPr>
          <w:rFonts w:hint="eastAsia" w:ascii="宋体" w:hAnsi="宋体"/>
          <w:b w:val="0"/>
          <w:bCs w:val="0"/>
          <w:color w:val="000000"/>
          <w:sz w:val="24"/>
          <w:szCs w:val="24"/>
          <w:shd w:val="clear" w:color="auto" w:fill="FFFFFF"/>
          <w:lang w:val="en-US" w:eastAsia="zh-CN"/>
        </w:rPr>
        <w:t>内容</w:t>
      </w:r>
      <w:r>
        <w:rPr>
          <w:rFonts w:hint="eastAsia" w:ascii="宋体" w:hAnsi="宋体"/>
          <w:b w:val="0"/>
          <w:bCs w:val="0"/>
          <w:color w:val="000000"/>
          <w:sz w:val="24"/>
          <w:szCs w:val="24"/>
          <w:shd w:val="clear" w:color="auto" w:fill="FFFFFF"/>
        </w:rPr>
        <w:t>：</w:t>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 xml:space="preserve"> </w:t>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 xml:space="preserve">  </w:t>
      </w:r>
    </w:p>
    <w:p w14:paraId="2CCF4ED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r>
        <w:rPr>
          <w:rFonts w:hint="eastAsia" w:ascii="宋体" w:hAnsi="宋体"/>
          <w:b w:val="0"/>
          <w:bCs w:val="0"/>
          <w:color w:val="000000"/>
          <w:sz w:val="24"/>
          <w:szCs w:val="24"/>
          <w:shd w:val="clear" w:color="auto" w:fill="FFFFFF"/>
        </w:rPr>
        <w:tab/>
      </w:r>
    </w:p>
    <w:p w14:paraId="533F236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1.2租赁期限：自全部设备到货、完成安装调试并经甲乙双方签字确认之日起3年。</w:t>
      </w:r>
    </w:p>
    <w:p w14:paraId="29785E0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1.3合同履行期限：自合同签订之日起至合同全部权利义务履行完毕之日止。</w:t>
      </w:r>
    </w:p>
    <w:p w14:paraId="1C1C86B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1.4合同总价：           元（大写人民币 佰拾万仟佰拾元整(RMB)），每年度费用（共3期）详见《起租确认书》（附件二）。合同总价包括提供的所有租赁设备、硬件设施、软件、人员、场地改造、服务的全部成本以及应向中华人民共和国政府缴纳的增值税和其它税等全部税费、管理和质量保证、运输、保险、检验、现场准备、安装、集成、调试、培训、维修、技术支持、标准附件价、备品备件及专用工具价(如有)、以及履行合同所需的费用、所有风险、责任等其他一切隐含及不可预见的费用。</w:t>
      </w:r>
    </w:p>
    <w:p w14:paraId="2A18478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2. 租赁设备的交货时间与交货地点 </w:t>
      </w:r>
    </w:p>
    <w:p w14:paraId="5AB53A1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乙方在合同生效后的_   _天内将2024年 月后生产的全新的、未使用过的设备运至甲方指定房内。乙方应在设备运至甲方所在地前  5  天书面通知甲方设备主管部门，否则甲方有权不予接收，乙方承担由此发生的一切损失和费用。</w:t>
      </w:r>
    </w:p>
    <w:p w14:paraId="06D7DBB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 租赁设备运输、保险、安装和验收</w:t>
      </w:r>
    </w:p>
    <w:p w14:paraId="3386C97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3.1乙方确保租赁设备安全无损地运抵甲方指定现场，并承担设备的运输、装卸、安装和保险。</w:t>
      </w:r>
    </w:p>
    <w:p w14:paraId="1D1752D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3.2设备的包装均应有良好的防护措施（包括但不仅限于防湿、防锈、防潮、防雨、防腐及防碰撞等）。</w:t>
      </w:r>
    </w:p>
    <w:p w14:paraId="6CAA3B1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3.3甲乙双方共同对设备进行开箱清点检查，如果发现短缺、损坏或有质量、技术等问题，乙方应及时安排更换，按照甲方的要求，采取补足、更换或退货等处理措施，以保证在本合同约定交货期内成功完成合同设备到货。</w:t>
      </w:r>
    </w:p>
    <w:p w14:paraId="0534B5C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3.4设备到货后，乙方应在_</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__天内安装调试完成，安装时须对各安装场地内的其他设备、设施采取妥善的保护措施。</w:t>
      </w:r>
    </w:p>
    <w:p w14:paraId="43BC7CD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3.5本合同所指的设备及服务应符合合同附件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1B28BF1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3.6如果本合同货物属于《中华人民共和国计量法》规定的强检计量器具的或属于放射类、压力容器类等特种设备的，乙方应在验收交付前提交甲方所在地法定专业检定部门出具的检定证书，检定费用由乙方负责。</w:t>
      </w:r>
    </w:p>
    <w:p w14:paraId="2ED4C81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3.7乙方在完成货物的安装调试和人员的技术培训并确保其稳定运行后，向甲方提出验收申请，若甲方确认项目实施情况符合验收标准，在乙方提出验收申请7日内完成验收。若项目实施情况不满足验收标准，待乙方整改合格后，再向甲方提出验收申请。验收合格之日，双方在《验收合格单》（附件三）上签字确认，且租赁设备的交付即为完成。验收按国家有关的规定、规范进行。验收时如发现所提供的设备有短装、次品、损坏或其它不符合本合同规定之情形者，应在《验收合格单》（附件三）作出详尽的现场记录，并由双方签字确认，作为补充、缺失和更换损坏部件的有效证据。</w:t>
      </w:r>
    </w:p>
    <w:p w14:paraId="08BAF5A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4.付款方式</w:t>
      </w:r>
    </w:p>
    <w:p w14:paraId="1772EC5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4.1合同的每笔款项以电汇或支票方式支付，支付的日期和金额为：</w:t>
      </w:r>
    </w:p>
    <w:p w14:paraId="295C410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4.2全部设备到货、完成安装调试并经甲方、乙方双方签字确认之日为起租日，起租日为第一个支付日，一个年度后为第二个支付日，以此类推；起租日和支付日均由甲方和乙方双方在《起租确认书》上签字确认。</w:t>
      </w:r>
    </w:p>
    <w:p w14:paraId="5762EEB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4.3甲方按照每个支付日，按时足额向乙方支付该期费用，乙方收取当期费用前10个工作日内提供相应金额收据，收取当期费用后3个工作日内提供相应金额发票。</w:t>
      </w:r>
    </w:p>
    <w:p w14:paraId="642DF54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5.履约担保</w:t>
      </w:r>
    </w:p>
    <w:p w14:paraId="5800BC1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5.1是否收取履约保证金：□是，履约保证金金额：/  ☑否</w:t>
      </w:r>
    </w:p>
    <w:p w14:paraId="1698393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5.2乙方应当以支票、汇票、本票或者银行履约保函等非现金形式提交。</w:t>
      </w:r>
    </w:p>
    <w:p w14:paraId="7EB1B54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5.3如果乙方出现/等约定情形的，履约保证金不予退还；如果乙方未能按合同约定全面履行义务，甲方有权从履约保证金中取得补偿或赔偿，且不影响甲方要求乙方承担合同约定的超过履约保证金的违约责任的权利。                           </w:t>
      </w:r>
    </w:p>
    <w:p w14:paraId="43246EB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5.4甲方在项目通过验收后20个工作日内将履约保证金退还乙方；逾期退还的，乙方可要求甲方支付违约金，违约金按照自到期之日起，至实际清偿之日止，以应付未付金额为基数，按应付未付款项的0.05%每日计收支付。</w:t>
      </w:r>
    </w:p>
    <w:p w14:paraId="167EAD9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 租赁设备技术文件</w:t>
      </w:r>
    </w:p>
    <w:p w14:paraId="363122E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6.1乙方应在供货同时向甲方提供所有有关本合同执行的技术文件，包括相应的中文技术文件，如：产品目录、图纸、操作手册、使用说明、维护手册、维修密码或服务指南等。如果项目必需但合同又未作规定的要乙方才能提供的技术文件，乙方也应及时向甲方提供。</w:t>
      </w:r>
    </w:p>
    <w:p w14:paraId="02F6358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6.2上述技术文件应包含保证甲方能够正确进行安装、操作、检查、维修、维护、测试、调试、验收和运作的需要的所有内容。</w:t>
      </w:r>
    </w:p>
    <w:p w14:paraId="135E1CD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6.3甲方完全按照技术文件的指导进行的任何安装、操作、检查维修、维护、测试、调试、验收所引起的系统和/或货物或其部件的损坏由乙方承担责任。</w:t>
      </w:r>
    </w:p>
    <w:p w14:paraId="5DFF839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6.4所有乙方提供的技术文件的全部费用已包含在合同总价中。</w:t>
      </w:r>
    </w:p>
    <w:p w14:paraId="2E45CEE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6.5所有未列明交付时间的乙方应提供的技术文件，必须单独包装伴随货物按货物交付时间交付给甲方。</w:t>
      </w:r>
    </w:p>
    <w:p w14:paraId="1945109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6.6到货后甲方如发现乙方未提供有关文件，可以推迟验收，直至乙方补齐有关文件。</w:t>
      </w:r>
    </w:p>
    <w:p w14:paraId="72B9B1D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7.租赁设备培训服务</w:t>
      </w:r>
    </w:p>
    <w:p w14:paraId="681D2AF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7.1在租赁设备安装和调试完成后，乙方应督促设备生产厂家或其授权的售后服务商提供培训服务，组织专业技术人员对甲方科室使用设备人员和相关管理人员进行培训，并保证两名以上操作人员熟练掌握操作技术为止。</w:t>
      </w:r>
    </w:p>
    <w:p w14:paraId="02A78F7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7.2设备生产厂家或其授权的售后服务商需制定详细的培训内容和培训计划，培训内容包括所有设备的安装和维护、常见故障现象及诊断、常见的问题及解决办法、操作系统软件、系统管理和应用软件、管理软件等。</w:t>
      </w:r>
    </w:p>
    <w:p w14:paraId="725F06F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7.3保修期内如遇设备升级更新，乙方须协调设备生产厂家或其授权的售后服务商需及时提供更新操作指导。</w:t>
      </w:r>
    </w:p>
    <w:p w14:paraId="3441C2F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8.租赁设备质量保证及售后服务</w:t>
      </w:r>
    </w:p>
    <w:p w14:paraId="486C3D5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8.1乙方应保证提供的租赁设备完全符合合同规定的质量、规格和性能要求。乙方应保证设备在正确安装、正常使用和保养条件下，在其使用寿命期内具备合同约定的性能。</w:t>
      </w:r>
    </w:p>
    <w:p w14:paraId="276416D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8.2乙方应督促设备生产厂家或其授权的售后服务商提供售后服务，售后服务承诺函详见附件四。包括以下内容：</w:t>
      </w:r>
    </w:p>
    <w:p w14:paraId="5BF8A50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8.2.1租赁设备的整机保修期    个月，并定期进行预防性维护保养（次数    次/年）以及故障维修、零配件更换。</w:t>
      </w:r>
    </w:p>
    <w:p w14:paraId="4569E6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8.2.2保修期的期限以验收合格之日起计算，在保修期内应确保正常使用率为95%（含）以上，如达不到此要求，即按故障时间（以报修时间起算）的3倍延长保修期。</w:t>
      </w:r>
    </w:p>
    <w:p w14:paraId="0068FD8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8.2.3保修期内报修响应时间   小时以内（含），   小时内（含）维修人员到场（不可抗力除外），   小时内（含）恢复正常使用。若仍未能及时恢复正常使用，应向甲方提供相同规格、标准的备用设备作为临时使用。</w:t>
      </w:r>
    </w:p>
    <w:p w14:paraId="033A643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8.2.4提供设备联网数据接口类型及协议，并完成与甲方医院网络（如PACS系统、HIS系统和体检管理系统）的互联互通。</w:t>
      </w:r>
    </w:p>
    <w:p w14:paraId="4F215F6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8.2.5如果设备的质量或规格与合同不符，或证实设备是有缺陷的，包括潜在的缺陷或使用不符合要求的材料等，乙方应督促设备生产厂家或其授权的售后服务商在接到甲方通知后30天内负责更换符合本合同约定标准的同型号或更优型号设备；同时，相应延长设备保修期。</w:t>
      </w:r>
    </w:p>
    <w:p w14:paraId="7E70763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8.3租赁期限内且保修期过后，甲方承担因租赁设备登记、保管、使用、维护等所产生的一切费用（如有）。</w:t>
      </w:r>
    </w:p>
    <w:p w14:paraId="3F30EA6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8.4乙方、设备生产厂家及其授权的售后服务商有为用户保密的义务，设备病例数据归甲方所有，不得私自泄露相关数据。</w:t>
      </w:r>
    </w:p>
    <w:p w14:paraId="6F55E72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9.租赁设备风险转移</w:t>
      </w:r>
    </w:p>
    <w:p w14:paraId="6BB7CB3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除非另有规定，合同标的风险转移遵守如下约定：</w:t>
      </w:r>
    </w:p>
    <w:p w14:paraId="78A7449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9.1乙方交由承运人运输的在途货物，毁损、灭失的风险由乙方承担。</w:t>
      </w:r>
    </w:p>
    <w:p w14:paraId="7817212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9.2设备毁损、灭失的风险，自起租日起由乙方转移至甲方。</w:t>
      </w:r>
    </w:p>
    <w:p w14:paraId="7115523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9.3因货物验收不合格甲方拒收，或双方已解除合同，货物毁损、灭失的风险由乙方承担。</w:t>
      </w:r>
    </w:p>
    <w:p w14:paraId="76C5739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9.4风险的转移，不影响因乙方履行义务不符合约定，甲方具有要求其承担违约责任的权利。</w:t>
      </w:r>
    </w:p>
    <w:p w14:paraId="4053535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10.知识产权保护</w:t>
      </w:r>
    </w:p>
    <w:p w14:paraId="2BAA6BC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如第三方提出其因租赁设备专利权、商标权或其他知识产权的侵权之诉，则甲乙双方共同向租赁设备制造商追责。</w:t>
      </w:r>
    </w:p>
    <w:p w14:paraId="5201AD8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11.租赁设备的使用和管理</w:t>
      </w:r>
    </w:p>
    <w:p w14:paraId="2733CC7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11.1甲方在不违反其在本合同下所承担之义务的前提下，有权在租期内完全占有、妥善使用租赁设备，并承担因租赁设备登记、保管、使用、维护等产生的一切费用（如有）。</w:t>
      </w:r>
    </w:p>
    <w:p w14:paraId="6E6E84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11.2甲方使用租赁设备应当符合下列条件：</w:t>
      </w:r>
    </w:p>
    <w:p w14:paraId="63B513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11.2.1仅在《起租确认书》（附件二）列明的使用地点使用租赁设备，未经乙方书面同意，甲方不得将租赁设备用于本合同约定以外的地点；</w:t>
      </w:r>
    </w:p>
    <w:p w14:paraId="0F44B2A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11.2.2符合租赁设备设计用途、租赁设备使用说明以及法律规定；</w:t>
      </w:r>
    </w:p>
    <w:p w14:paraId="290DD69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11.2.3仅为自身正常业务活动使用租赁设备，租赁设备用途符合本合同约定。</w:t>
      </w:r>
    </w:p>
    <w:p w14:paraId="372BBFE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11.3甲方应在交付后尽合理的管理义务使用和保管租赁设备，包括但不限于：</w:t>
      </w:r>
    </w:p>
    <w:p w14:paraId="7FED691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11.3.1保持租赁设备安全运行，并承担因使用或保管不善而产生的必要的修理费等各种费用，确保租赁设备处于良好工作状况（设备正常损耗除外）；</w:t>
      </w:r>
    </w:p>
    <w:p w14:paraId="599F772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11.3.2未经乙方书面同意，甲方不得变更租赁设备组装方式，不得对租赁设备进行任何改动、改造，不得移除租赁设备的任何部分以及附着于租赁设备的任何附件、附品（设备厂商提供的设备软件等性能升级除外）；</w:t>
      </w:r>
    </w:p>
    <w:p w14:paraId="0D4457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11.3.3不得在租赁设备内或租赁设备外乃至租赁设备附近使用、储存、处理、出现任何危险品或违法物品。</w:t>
      </w:r>
    </w:p>
    <w:p w14:paraId="07D676D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11.4在遵守本合同约定且无任何违约情形的前提下，甲方有权在租赁期间占有、使用租赁设备并获得相应收益。</w:t>
      </w:r>
    </w:p>
    <w:p w14:paraId="3687375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11.5如租赁设备在交付后出现质量问题或因技术服务缺陷等非甲方的原因导致无法正常使用或租赁设备价值受损时，甲方有义务及时通知乙方采取有效、可行的补救措施。</w:t>
      </w:r>
    </w:p>
    <w:p w14:paraId="632483D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11.6租赁设备交付后，因甲方未尽合理管理义务导致的租赁设备或租赁设备的任何部分、任何部件的遗失或损坏（设备正常损耗除外），影响到租赁设备正常使用的，甲方应对租赁设备进行修复，保证其可正常使用，否则需承担因此造成乙方的全部损失。</w:t>
      </w:r>
    </w:p>
    <w:p w14:paraId="2CF66A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11.7租赁设备交付后，由于甲方的原因导致租赁设备造成任何第三人人身伤害或财产损失的，由甲方承担全部责任。同时甲方应于获悉上述情形后及时通知乙方。</w:t>
      </w:r>
    </w:p>
    <w:p w14:paraId="7B996AC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11.8经双方沟通约定，在不影响甲方工作的情况下，乙方有权进入租赁设备所在地点，对租赁设备的现状、使用、保管、维护等情形进行检查，甲方予以配合。乙方有权利向甲方了解租赁设备实时状态，甲方有义务向乙方告知租赁设备状态、真实准确位置等信息。</w:t>
      </w:r>
    </w:p>
    <w:p w14:paraId="38408E6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11.9在甲方占用租赁设备期间，甲方应负责获取就其占有、使用租赁设备所需要的所有法律许可，支付法律要求的所有规费和支出（如有），包括但不限于电力、燃气、电话、互联网、所有的政府批准、执照、测试、检查、许可费用。</w:t>
      </w:r>
    </w:p>
    <w:p w14:paraId="43FCDB3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12.租赁设备的所有权和毁损灭失</w:t>
      </w:r>
    </w:p>
    <w:p w14:paraId="7E76CB8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12.1本合同项下租赁设备的所有权完全归乙方所有，甲方仅依据本合同享有租赁设备的占有权、使用权。即使租赁设备附着或嵌入或永久性放置于某项不动产上，乙方仍然是设备的唯一所有权人。</w:t>
      </w:r>
    </w:p>
    <w:p w14:paraId="0EC9155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12.2租赁期间，甲方不得进行下列各项行为：</w:t>
      </w:r>
    </w:p>
    <w:p w14:paraId="135D2DB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12.2.1放弃占有、出售、转让、或以其他方式处分租赁设备；</w:t>
      </w:r>
    </w:p>
    <w:p w14:paraId="7B1CBA0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12.2.2未经乙方书面同意，拆除或掩盖或损坏租赁设备上所有权人标识；</w:t>
      </w:r>
    </w:p>
    <w:p w14:paraId="6659C95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12.2.3在租赁设备上设立抵押、质押、留置等担保利益；</w:t>
      </w:r>
    </w:p>
    <w:p w14:paraId="121CE56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12.2.4以及其他侵害乙方所有权的行为。</w:t>
      </w:r>
    </w:p>
    <w:p w14:paraId="4ECAF15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12.3若乙方需要在租赁设备上放置所有权标识，甲方应当全力配合。甲方不得声明自己为租赁设备所有权人或误导他人认为甲方为所有权人。但是，若中国法律或中国政府部门要求在租赁设备上粘贴或固定使用人标识，则为租赁设备合法合规使用的目的甲方应事先书面告知乙方，甲方可以自付费用按中国法律或中国政府部门要求在租赁设备上粘贴或固定使用人标识。</w:t>
      </w:r>
    </w:p>
    <w:p w14:paraId="07128C2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12.4除非经乙方事先书面同意，甲方不得将租赁设备添附于任何不动产或其他动产。</w:t>
      </w:r>
    </w:p>
    <w:p w14:paraId="2C61E85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12.5本合同期限内，因甲方原因导致的租赁设备毁损或灭失情形的（设备正常损耗及甲方有证据证明损毁或灭失是由于不可抗力造成的除外），甲方应于3个工作日内通知乙方，乙方有权：（1）在租赁设备可修复的情况下，要求甲方自租赁设备毁损之日起在乙方要求的期限内将租赁设备修复至设备毁损前状态；（2）在租赁设备不可修复，或修复成本高于重置成本的情况下，要求甲方自租赁设备毁损或灭失之日起在乙方要求的期限内将租赁设备更换为经乙方认可的与租赁设备同等状态、性能和价值的物件；（3）在前述安排皆不可行的情况下，终止本合同并要求甲方赔偿相应实际损失。甲方承担前述安排所需的合理费用，在处理期间甲方在本合同项下的各项义务的履行不受任何影响。</w:t>
      </w:r>
    </w:p>
    <w:p w14:paraId="7283BE2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12.6若发生本合同第12.5款约定的情形甲方更换租赁设备的，更换后的设备自动成为本合同项下租赁设备，乙方自动取得更换后的租赁设备所有权，甲方应向乙方提供更换后的租赁设备相关权属文件（如有），并按本合同约定办理租赁设备相关标识、登记等。被更换的租赁设备按“现时现状”自动转归甲方所有，并由甲方自担费用自行处理，乙方不承担任何责任和义务。</w:t>
      </w:r>
    </w:p>
    <w:p w14:paraId="1B8897F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13.陈述和保证</w:t>
      </w:r>
    </w:p>
    <w:p w14:paraId="0A5ECF4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13.1本合同乙方、甲方做如下陈述和保证：</w:t>
      </w:r>
    </w:p>
    <w:p w14:paraId="2AC4704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13.1.1双方均根据中国法律设立并有效存续；</w:t>
      </w:r>
    </w:p>
    <w:p w14:paraId="7578813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13.1.2双方具有签署及履行本合同的权利；均已经取得签署及履行本合同所需的内部和外部批准、同意或许可；</w:t>
      </w:r>
    </w:p>
    <w:p w14:paraId="3611A7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13.1.3双方提供的任何信息均为真实、准确和完整的，并无重大遗漏和误导性陈述。</w:t>
      </w:r>
    </w:p>
    <w:p w14:paraId="06D151A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13.2甲方进一步保证：</w:t>
      </w:r>
    </w:p>
    <w:p w14:paraId="0D2087A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13.2.1甲方不会行使任何侵犯、损害或影响乙方享有租赁设备所有权的行为；</w:t>
      </w:r>
    </w:p>
    <w:p w14:paraId="14A62D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13.2.2保护租赁设备不受损害，租赁设备遭受或可能遭受损失时，采取一切必要措施防止损失扩大或防止该等损失发生；</w:t>
      </w:r>
    </w:p>
    <w:p w14:paraId="0121544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13.2.3若发生可能影响甲方履行本合同能力的情况，包括但不限于被申请财产保全、强制执行或其他执行措施；被有权机关处罚、被责令整改；申请或被申请破产等情形，甲方应立即书面通知乙方。</w:t>
      </w:r>
    </w:p>
    <w:p w14:paraId="7642D94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13.3乙方进一步保证：</w:t>
      </w:r>
    </w:p>
    <w:p w14:paraId="3A0B686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13.3.1在本合同有效期限内，乙方保证甲方对租赁设备完整的占有权和使用权；</w:t>
      </w:r>
    </w:p>
    <w:p w14:paraId="123B621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13.3.2乙方应确保与租赁设备的生产厂家或其授权的售后服务商所约定的租赁设备保修期真实有效；</w:t>
      </w:r>
    </w:p>
    <w:p w14:paraId="165A7FB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13.3.3若发生可能影响乙方履行本合同能力的情况，包括但不限于被申请财产保全、强制执行或其他执行措施；被有权机关处罚、被责令整改；申请或被申请破产等情形，乙方应立即书面通知甲方。</w:t>
      </w:r>
    </w:p>
    <w:p w14:paraId="19DE841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13.4除上述陈述和保证外，乙方不对租赁设备具有适销性或符合甲方特定使用目的进行保证及承诺。</w:t>
      </w:r>
    </w:p>
    <w:p w14:paraId="70D9E0E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14.违约责任</w:t>
      </w:r>
    </w:p>
    <w:p w14:paraId="0284CEB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14.1双方保证严格履行本合同各项条款，任何一方违反本合同有关条款或保证时，应承担相应的违约责任，赔偿守约方所遭受的实际损失。</w:t>
      </w:r>
    </w:p>
    <w:p w14:paraId="498012C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14.2甲方发生以下情况之一的，即构成根本违约：</w:t>
      </w:r>
    </w:p>
    <w:p w14:paraId="4A79BC4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14.2.1甲方未按时足额支付每期费用，超过30日仍未纠正；</w:t>
      </w:r>
    </w:p>
    <w:p w14:paraId="683113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14.2.2因甲方原因导致的租赁设备毁损或灭失情形，经乙方书面通知后十日内仍未采取措施纠正；</w:t>
      </w:r>
    </w:p>
    <w:p w14:paraId="4D281F8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14.2.3违反本合同第12.2款的约定侵害乙方租赁设备所有权，经乙方书面通知后十日内仍未采取措施纠正。</w:t>
      </w:r>
    </w:p>
    <w:p w14:paraId="60328AF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14.3发生本合同第14.2款约定的情形时，乙方有权采取解除合同，收回租赁设备或停止继续交付租赁设备，并要求甲方支付以下款项的方式或其他法律允许的方式维护权益：</w:t>
      </w:r>
    </w:p>
    <w:p w14:paraId="625B77FF">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(1)截至本合同解除之日的甲方以下应付款项：a.全部已到期未付每期费用、b.逾期利息（自到期之日起，至实际清偿之日止，以已到期未付金额为基数，按已到期未付金额的0.05%每日计收）；</w:t>
      </w:r>
    </w:p>
    <w:p w14:paraId="60D710F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(2)未到期应付每期费用；</w:t>
      </w:r>
    </w:p>
    <w:p w14:paraId="62C75C7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(3)本合同第14.1款约定的款项。</w:t>
      </w:r>
    </w:p>
    <w:p w14:paraId="0114949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14.4乙方发生以下情况之一的，即构成根本违约：</w:t>
      </w:r>
    </w:p>
    <w:p w14:paraId="5365A8F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14.4.1乙方未按时提供本合同指定的租赁设备，超过30日仍未纠正；</w:t>
      </w:r>
    </w:p>
    <w:p w14:paraId="5139370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14.4.2因乙方原因导致租赁设备被没收、扣押、保全、执行等情形导致甲方无法按本合同约定占有并使用该设备的。</w:t>
      </w:r>
    </w:p>
    <w:p w14:paraId="02D4F520">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14.5发生本合同第14.4款约定的情形时，甲方有权采取解除合同，停止继续支付租赁设备费用，并要求乙方支付以下款项的方式或其他法律允许的方式维护权益：</w:t>
      </w:r>
    </w:p>
    <w:p w14:paraId="2A1131F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（1）违约金（自发生本合同第14.4款约定的情形之日起，至违约行为消除之日止，以甲方应支付的当期费用金额为基数，按0.05%每日计收）；</w:t>
      </w:r>
    </w:p>
    <w:p w14:paraId="2617C22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（2）本合同第14.1款约定的款项。</w:t>
      </w:r>
    </w:p>
    <w:p w14:paraId="639FDE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15.转让</w:t>
      </w:r>
    </w:p>
    <w:p w14:paraId="425A07D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15.1.未经乙方事先书面同意，甲方不得转让本合同项下任何权利或义务，但甲方授权其关联单位或机构对租赁设备行使使用权的情况除外。</w:t>
      </w:r>
    </w:p>
    <w:p w14:paraId="7CD95F8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15.2.未经甲方事先书面同意，乙方不得部分或全部转让及以其他方式处分其在本合同项下任何权利或义务。</w:t>
      </w:r>
    </w:p>
    <w:p w14:paraId="2CD5735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16.不可抗力</w:t>
      </w:r>
    </w:p>
    <w:p w14:paraId="227DC26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16.1不可抗力指本合同签订后发生的一方不能预见、不能避免、不能克服的客观事件，如地震、台风、水灾等其他自然灾害，军事行动、战争、暴乱及恐怖活动，爆炸、瘟疫等。</w:t>
      </w:r>
    </w:p>
    <w:p w14:paraId="2423D80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16.2发生不可抗力，受影响的一方应及时书面通知对方并在可能的情况下采取补救措施以减少损失。不可抗力结束之日起三十日内，受影响的一方应向对方提供有关机关出具的不可抗力相关证明。</w:t>
      </w:r>
    </w:p>
    <w:p w14:paraId="0A6D744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16.3发生不可抗力后，一方有权根据受影响的对方提供的发生不可抗力事件证明、无法履行合同证明、防止损失扩大证明以及申请延期履行或减免违约责任的书面申请，结合不可抗力对受影响的一方履约行为的实际影响，酌情作出是否延期履行或减免违约责任的决定。因受影响的一方未及时采取措施防止损失扩大的，不得以不可抗力为由主张减免本合同项下任何责任。</w:t>
      </w:r>
    </w:p>
    <w:p w14:paraId="415D8DA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16.4受影响的一方在不可抗力发生前发生违约的，受影响的一方不得以不可抗力为由主张减免本合同项下任何款项，亦不得以不可抗力为由解除本合同。</w:t>
      </w:r>
    </w:p>
    <w:p w14:paraId="10E0D236">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17.通知与送达</w:t>
      </w:r>
    </w:p>
    <w:p w14:paraId="52A13BC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17.1双方确认本合同所载通讯地址和联系方式作为本合同项下对方通知事项、商业信函、法律文件以及所涉债务/担保义务的催收和诉讼/仲裁/公证等文书的送达地址。</w:t>
      </w:r>
    </w:p>
    <w:p w14:paraId="1AE799BD">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各方同意并确认，对方、法院和仲裁机构有关书面通知、文件等，以邮寄方式寄送至本合同所载明之通讯地址从邮件寄送之日起七天后视为送达。</w:t>
      </w:r>
    </w:p>
    <w:p w14:paraId="12D89F4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上述通讯地址和联系方式适用至本合同履行完毕或争议经过一审、二审、再审、执行或仲裁程序至案件执行终结且各方权利全部实现时止。</w:t>
      </w:r>
    </w:p>
    <w:p w14:paraId="6012B75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17.2若双方纠纷进入仲裁、诉讼、强制执行公证程序后，如对方应诉并直接向仲裁机构、法院提交送达地址确认书，该确认地址与诉前确认的送达地址不一致的，以向仲裁机构、法院提交确认的送达地址为准（该送达地址适用本条约定的送达方式及送达的法律后果）。</w:t>
      </w:r>
    </w:p>
    <w:p w14:paraId="6A47F55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17.3各方承诺：己方确认的通讯地址和联系方式真实有效，如有错误，导致的商业信函和法律文书送达不能的法律后果由己方承担。如上述送达地址有变更的，己方应当及时以书面方式通知对方并重新确认送达地址，如未及时通知的，视为未变更，相关责任由己方自行承担。对方在任何情况下均无需对因此导致邮递、传真、电话或任何其他通讯系统所出现的传送失误、缺漏或延迟承担任何责任。</w:t>
      </w:r>
    </w:p>
    <w:p w14:paraId="2EC0E1F5">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18.法律适用与争议解决</w:t>
      </w:r>
    </w:p>
    <w:p w14:paraId="4FDAD70B">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18.1本合同适用中国法律（就本合同的意义而言，不包括香港、澳门和台湾地区的法律）并根据中国法律解释。</w:t>
      </w:r>
    </w:p>
    <w:p w14:paraId="1A735EE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18.2双方如在履行合同中发生任何纠纷，均以上述交付验收标准作为解决依据。首先应友好协商；协商不成，应向甲方所在地法院起诉。</w:t>
      </w:r>
    </w:p>
    <w:p w14:paraId="66A0E76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19.合同的生效、变更、解除与终止</w:t>
      </w:r>
    </w:p>
    <w:p w14:paraId="25C9828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19.1本合同经各方法定代表人或授权代表签字（或盖人名章）并加盖各方公章或合同专用章后生效，合同签署日期以较迟签注的日期为准，至本合同项下双方全部权利义务履行完毕之日终止。</w:t>
      </w:r>
    </w:p>
    <w:p w14:paraId="6539F4B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19.2本合同一式    份，以中文书就，甲方执叁份、乙方执    份，具有相同的法律效力。</w:t>
      </w:r>
    </w:p>
    <w:p w14:paraId="21FF53CC">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19.3本合同生效后，各方如需变更或解除本合同，应达成书面协议。书面协议达成之前，本合同继续执行。</w:t>
      </w:r>
    </w:p>
    <w:p w14:paraId="081C2F8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19.4条款的可分割性：本合同任何条款的无效均不影响其他条款的法律效力。</w:t>
      </w:r>
    </w:p>
    <w:p w14:paraId="33AA1B3E">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20.附则</w:t>
      </w:r>
    </w:p>
    <w:p w14:paraId="52A9C223">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20.1本合同未尽事宜，各方另订补充协议。</w:t>
      </w:r>
    </w:p>
    <w:p w14:paraId="3E54C55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20.2本合同附件、招标文件、投标文件、承诺书、成交通知书及因履行本合同而签订的变更、补充协议及其他相关文件，或者依据本合同做出的一切通知、函件，均应视为本合同不可分割的组成部分。</w:t>
      </w:r>
    </w:p>
    <w:p w14:paraId="6BD1388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20.3本合同为各方就本合同约定事宜达成的一致协议，取代先前各方之间与该等事宜有关的任何口头或书面谅解、承诺、协议或陈述。</w:t>
      </w:r>
    </w:p>
    <w:p w14:paraId="735B200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20.4除本合同另有约定，本合同所涉及每期费用等甲方的应付款项均为含税价。</w:t>
      </w:r>
    </w:p>
    <w:p w14:paraId="5D92868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21.特别规定：    无     </w:t>
      </w:r>
    </w:p>
    <w:p w14:paraId="0889117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（以下为签字页，无正文）</w:t>
      </w:r>
    </w:p>
    <w:p w14:paraId="51724DEA">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甲方： </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乙方：                  </w:t>
      </w:r>
    </w:p>
    <w:p w14:paraId="6290BE9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（盖章）                             （盖章）</w:t>
      </w:r>
    </w:p>
    <w:p w14:paraId="3E24F8D8">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甲方法定代表人或授权委托人                乙方法定代表人或授权委托人</w:t>
      </w:r>
    </w:p>
    <w:p w14:paraId="1B122669">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___________________                       ____________________</w:t>
      </w:r>
    </w:p>
    <w:p w14:paraId="7205AE7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通讯地址：</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通讯地址：           </w:t>
      </w:r>
    </w:p>
    <w:p w14:paraId="53914D51">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                                                                          </w:t>
      </w:r>
    </w:p>
    <w:p w14:paraId="09D664A7">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联系电话：</w:t>
      </w:r>
      <w:r>
        <w:rPr>
          <w:rFonts w:hint="eastAsia" w:ascii="宋体" w:hAnsi="宋体"/>
          <w:b w:val="0"/>
          <w:bCs w:val="0"/>
          <w:color w:val="000000"/>
          <w:sz w:val="24"/>
          <w:szCs w:val="24"/>
          <w:shd w:val="clear" w:color="auto" w:fill="FFFFFF"/>
          <w:lang w:val="en-US" w:eastAsia="zh-CN"/>
        </w:rPr>
        <w:t xml:space="preserve">         </w:t>
      </w:r>
      <w:r>
        <w:rPr>
          <w:rFonts w:hint="eastAsia" w:ascii="宋体" w:hAnsi="宋体"/>
          <w:b w:val="0"/>
          <w:bCs w:val="0"/>
          <w:color w:val="000000"/>
          <w:sz w:val="24"/>
          <w:szCs w:val="24"/>
          <w:shd w:val="clear" w:color="auto" w:fill="FFFFFF"/>
        </w:rPr>
        <w:t xml:space="preserve">     联系电话：</w:t>
      </w:r>
    </w:p>
    <w:p w14:paraId="4CC35DE4">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日期：     年    月    日        日期：     年    月    日</w:t>
      </w:r>
    </w:p>
    <w:p w14:paraId="303B1F42">
      <w:pPr>
        <w:widowControl/>
        <w:spacing w:line="360" w:lineRule="auto"/>
        <w:ind w:firstLine="480" w:firstLineChars="200"/>
        <w:jc w:val="left"/>
        <w:rPr>
          <w:rFonts w:hint="eastAsia" w:ascii="宋体" w:hAnsi="宋体"/>
          <w:b w:val="0"/>
          <w:bCs w:val="0"/>
          <w:color w:val="000000"/>
          <w:sz w:val="24"/>
          <w:szCs w:val="24"/>
          <w:shd w:val="clear" w:color="auto" w:fill="FFFFFF"/>
        </w:rPr>
      </w:pPr>
      <w:r>
        <w:rPr>
          <w:rFonts w:hint="eastAsia" w:ascii="宋体" w:hAnsi="宋体"/>
          <w:b w:val="0"/>
          <w:bCs w:val="0"/>
          <w:color w:val="000000"/>
          <w:sz w:val="24"/>
          <w:szCs w:val="24"/>
          <w:shd w:val="clear" w:color="auto" w:fill="FFFFFF"/>
        </w:rPr>
        <w:t xml:space="preserve">开户银行：             开户银行：   </w:t>
      </w:r>
    </w:p>
    <w:p w14:paraId="626A3335">
      <w:pPr>
        <w:widowControl/>
        <w:spacing w:line="360" w:lineRule="auto"/>
        <w:ind w:firstLine="480" w:firstLineChars="200"/>
        <w:jc w:val="left"/>
        <w:rPr>
          <w:rFonts w:hint="eastAsia" w:ascii="宋体" w:hAnsi="宋体" w:eastAsia="宋体" w:cs="Times New Roman"/>
          <w:b/>
          <w:color w:val="000000"/>
          <w:sz w:val="32"/>
          <w:szCs w:val="32"/>
          <w:shd w:val="clear" w:color="auto" w:fill="FFFFFF"/>
        </w:rPr>
      </w:pPr>
      <w:r>
        <w:rPr>
          <w:rFonts w:hint="eastAsia" w:ascii="宋体" w:hAnsi="宋体"/>
          <w:b w:val="0"/>
          <w:bCs w:val="0"/>
          <w:color w:val="000000"/>
          <w:sz w:val="24"/>
          <w:szCs w:val="24"/>
          <w:shd w:val="clear" w:color="auto" w:fill="FFFFFF"/>
        </w:rPr>
        <w:t xml:space="preserve">账号：               账号：     </w:t>
      </w:r>
      <w:r>
        <w:rPr>
          <w:rFonts w:hint="eastAsia" w:ascii="宋体" w:hAnsi="宋体"/>
          <w:b/>
          <w:color w:val="000000"/>
          <w:sz w:val="32"/>
          <w:szCs w:val="32"/>
          <w:shd w:val="clear" w:color="auto" w:fill="FFFFFF"/>
        </w:rPr>
        <w:t xml:space="preserve">       </w:t>
      </w:r>
    </w:p>
    <w:p w14:paraId="075E0BF2">
      <w:pPr>
        <w:widowControl/>
        <w:spacing w:line="360" w:lineRule="auto"/>
        <w:jc w:val="center"/>
        <w:rPr>
          <w:rFonts w:hint="eastAsia" w:ascii="宋体" w:hAnsi="宋体" w:eastAsia="宋体" w:cs="Times New Roman"/>
          <w:b/>
          <w:color w:val="000000"/>
          <w:sz w:val="32"/>
          <w:szCs w:val="32"/>
          <w:shd w:val="clear" w:color="auto" w:fill="FFFFFF"/>
        </w:rPr>
      </w:pPr>
    </w:p>
    <w:p w14:paraId="03C231ED">
      <w:pPr>
        <w:widowControl/>
        <w:spacing w:line="360" w:lineRule="auto"/>
        <w:jc w:val="center"/>
        <w:rPr>
          <w:rFonts w:ascii="宋体" w:hAnsi="宋体" w:eastAsia="宋体" w:cs="Times New Roman"/>
          <w:b/>
          <w:color w:val="000000"/>
          <w:sz w:val="32"/>
          <w:szCs w:val="32"/>
          <w:shd w:val="clear" w:color="auto" w:fill="FFFFFF"/>
        </w:rPr>
      </w:pPr>
      <w:r>
        <w:rPr>
          <w:rFonts w:hint="eastAsia" w:ascii="宋体" w:hAnsi="宋体" w:eastAsia="宋体" w:cs="Times New Roman"/>
          <w:b/>
          <w:color w:val="000000"/>
          <w:sz w:val="32"/>
          <w:szCs w:val="32"/>
          <w:shd w:val="clear" w:color="auto" w:fill="FFFFFF"/>
        </w:rPr>
        <w:t>医用耗材购销合同</w:t>
      </w:r>
    </w:p>
    <w:p w14:paraId="6077F3A4">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甲方(医疗机构)：中山市中医院</w:t>
      </w:r>
    </w:p>
    <w:p w14:paraId="53AEF8D8">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乙方(经销企业)：</w:t>
      </w:r>
    </w:p>
    <w:p w14:paraId="4F23A008">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根据《中华人民共和国民法典》、《医疗器械监督管理条例》，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网上交易的顺利进行，明确交易各方的权利和义务，特订立本合同。</w:t>
      </w:r>
    </w:p>
    <w:p w14:paraId="7406BA7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第一条交易方式</w:t>
      </w:r>
    </w:p>
    <w:p w14:paraId="02660BD2">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甲方、乙方通过广东省药品交易中心有限公司的第三方药品电子交易平台（以下简称：“交易平台”，https://www.gdmede.cn）按下述第2种方式进行医用耗材交易：</w:t>
      </w:r>
    </w:p>
    <w:p w14:paraId="2247A90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1、网上竞价</w:t>
      </w:r>
    </w:p>
    <w:p w14:paraId="14B6F442">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2、网上议价</w:t>
      </w:r>
    </w:p>
    <w:p w14:paraId="7565119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第二条合同标的</w:t>
      </w:r>
    </w:p>
    <w:p w14:paraId="23A9A69F">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交易医用耗材的名称、品种、规格、型号、材质、功能、交易价格、生产企业等见本合同附件之</w:t>
      </w:r>
      <w:r>
        <w:rPr>
          <w:rFonts w:hint="eastAsia" w:ascii="宋体" w:hAnsi="宋体"/>
          <w:color w:val="000000"/>
          <w:sz w:val="24"/>
          <w:shd w:val="clear" w:color="auto" w:fill="FFFFFF"/>
        </w:rPr>
        <w:t>“医用耗材采购明细表”</w:t>
      </w:r>
      <w:r>
        <w:rPr>
          <w:rFonts w:hint="eastAsia" w:ascii="宋体" w:hAnsi="宋体" w:eastAsia="宋体" w:cs="Times New Roman"/>
          <w:color w:val="000000"/>
          <w:sz w:val="24"/>
          <w:shd w:val="clear" w:color="auto" w:fill="FFFFFF"/>
        </w:rPr>
        <w:t>。</w:t>
      </w:r>
    </w:p>
    <w:p w14:paraId="0CCB24F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第三条质量标准</w:t>
      </w:r>
    </w:p>
    <w:p w14:paraId="3F3C416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1、乙方向甲方供应的医用耗材必须符合国家的质量标准和有关要求。</w:t>
      </w:r>
    </w:p>
    <w:p w14:paraId="7B0A07ED">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2、乙方供应的全部医用耗材应按国家标准保护措施进行包装、储存、运输，以防止医用耗材在配送过程中损坏或变质，确保医用耗材安全无损运抵交货地点。</w:t>
      </w:r>
    </w:p>
    <w:p w14:paraId="01F8104A">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3、甲方可根据《交易办法》要求乙方提供其与交易有关的证明文件，包括所提供的医用耗材的医疗器械注册证或第一类产品备案凭证、注册产品标准，以及检验报告等相关文件。</w:t>
      </w:r>
    </w:p>
    <w:p w14:paraId="52199F64">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第四条订货与交货</w:t>
      </w:r>
    </w:p>
    <w:p w14:paraId="34B99074">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1、本合同签订后，甲方应在合同有效期内完成本合同约定采购量，乙方应按本合同约定及具体订单中的要求及时、足量供应医用耗材。</w:t>
      </w:r>
    </w:p>
    <w:p w14:paraId="11886F9A">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甲方通过交易平台发出具体订单，乙方收到订单后应于4个小时内在交易平台响应。根据一般医用耗材、急（抢）救医用耗材的轻重缓急程度，积极安排配送。急（抢）救医用耗材4小时内送达，节假日照常配送；一般医用耗材24小时内送到，最长不超过48小时。</w:t>
      </w:r>
    </w:p>
    <w:p w14:paraId="5AE1B323">
      <w:pPr>
        <w:widowControl/>
        <w:spacing w:line="360" w:lineRule="auto"/>
        <w:ind w:firstLine="480" w:firstLineChars="200"/>
        <w:jc w:val="left"/>
        <w:rPr>
          <w:rFonts w:hint="eastAsia" w:ascii="宋体" w:hAnsi="宋体" w:eastAsia="宋体" w:cs="Times New Roman"/>
          <w:color w:val="000000"/>
          <w:sz w:val="24"/>
          <w:highlight w:val="yellow"/>
          <w:shd w:val="clear" w:color="auto" w:fill="FFFFFF"/>
          <w:lang w:eastAsia="zh-CN"/>
        </w:rPr>
      </w:pPr>
      <w:r>
        <w:rPr>
          <w:rFonts w:hint="eastAsia" w:ascii="宋体" w:hAnsi="宋体" w:eastAsia="宋体" w:cs="Times New Roman"/>
          <w:color w:val="000000"/>
          <w:sz w:val="24"/>
          <w:shd w:val="clear" w:color="auto" w:fill="FFFFFF"/>
        </w:rPr>
        <w:t>3、乙方配送医用耗材的品种、规格、型号、材质、数量等必须严格按照甲方发送的订单执行。</w:t>
      </w:r>
    </w:p>
    <w:p w14:paraId="3706696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第五条医用耗材验收</w:t>
      </w:r>
    </w:p>
    <w:p w14:paraId="12BAB2D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1、甲方在接收医用耗材时，应对医用耗材进行验货确认，对不符合合同要求的，甲方有权拒绝接收。乙方应及时更换被拒绝的医用耗材，不得影响甲方的临床使用。</w:t>
      </w:r>
    </w:p>
    <w:p w14:paraId="746A073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为保证医用耗材质量，避免造成医用耗材的浪费，甲方接收医用耗材后应妥善储存和管理。如因医用耗材本身的质量造成的一切损失由乙方承担全部责任；如因甲方库存条件不符合医用耗材正常储存，造成的医用耗材出现质量问题，由甲方承担全部责任。</w:t>
      </w:r>
    </w:p>
    <w:p w14:paraId="773F449D">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3、甲方接收医用耗材后，若发现医用耗材非因甲方原因而存在质量缺陷的，甲方应及时通报乙方。</w:t>
      </w:r>
    </w:p>
    <w:p w14:paraId="23D4389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甲方履行通知义务后，乙方对医用耗材质量归责无争议的，甲方有权单方终止本合同中该型号医用耗材交易的继续履行，并退回已接收但未使用的剩余医用耗材给乙方，由此造成的所有损失由乙方承担。</w:t>
      </w:r>
    </w:p>
    <w:p w14:paraId="6E928B4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各方对医用耗材质量问题的责任方存在争议时，应送甲方所在地国家食品药品监督管理总局认定的医疗器械质量监督检验机构检验。如送检医用耗材存在质量问题，甲方有权据此单方终止本合同项下该型号耗材的后续采购，检验费用由乙方承担，并互负连带责任；如送检医用耗材无质量问题，本合同项下该型号耗材的交易继续履行，检验费用由甲方独自承担。</w:t>
      </w:r>
    </w:p>
    <w:p w14:paraId="37AD728B">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第六条交易价款结算</w:t>
      </w:r>
    </w:p>
    <w:p w14:paraId="5EE66E9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交易价格：按甲乙双方在交易平台达成的交易价格执行（具体见本合同附件之采购医用耗材明细表中的交易价），该价格包含耗材制造成本、运输、包装、附随服务等费用、税费及其他一切附加费用以及利润。</w:t>
      </w:r>
    </w:p>
    <w:p w14:paraId="22A834D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2、本合同履行期间，如遇政策性调价，按政策规定的价格执行。</w:t>
      </w:r>
    </w:p>
    <w:p w14:paraId="06EFD6E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3、医用耗材送达交收地点后，甲方应按相关规定验收。甲方确认收货后，乙方应及时将发票送达甲方。甲方按院内流程办理发票付款。</w:t>
      </w:r>
    </w:p>
    <w:p w14:paraId="37BFE6A7">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4、结算时间：甲方在收到合法发票之日起最迟不得超过6个月进行交易价款结算。</w:t>
      </w:r>
    </w:p>
    <w:p w14:paraId="29737C9C">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5、其他与交易价款结算有关的事项，按甲方、乙方分别与广东省药品交易中心有限公司、结算银行签订的《结算服务协议书》执行。</w:t>
      </w:r>
    </w:p>
    <w:p w14:paraId="036CE459">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第七条各方共同义务</w:t>
      </w:r>
    </w:p>
    <w:p w14:paraId="33F7143B">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两方一致同意并声明：</w:t>
      </w:r>
    </w:p>
    <w:p w14:paraId="4991084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1、两方对在本合同签订及履行过程中所获得商业信息负有保密义务，该义务不因本合同的解除或终止而失效；</w:t>
      </w:r>
    </w:p>
    <w:p w14:paraId="1EE09AF0">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2、两方签署本合同已经过两方的内部授权或者审批，签署本合同为两方自愿的、真实的意思表示，并且在执行本合同时给予两方必要的和合理的支持与配合。</w:t>
      </w:r>
    </w:p>
    <w:p w14:paraId="0BEF8B0A">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两方应遵守交易平台施行的与履约保证金相关的制度和规则。若涉嫌异常交易行为并经调查核实，应按规定向广东省药品交易中心足额缴纳交易履约保证金，以保证持续具备医用耗材的交易的资格以及确保不影响本合同项下合同义务的履行。</w:t>
      </w:r>
    </w:p>
    <w:p w14:paraId="04B335CB">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4、为确保签约行为符合相关税收规定，根据《中华人民共和国印花税暂行条例》以及《中华人民共和国印花税暂行条例施行细则》等相关法律法规，交易各方承诺通过交易平台及时缴纳本合同项下的印花税。</w:t>
      </w:r>
    </w:p>
    <w:p w14:paraId="34F5F38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第八条甲方的违约责任</w:t>
      </w:r>
    </w:p>
    <w:p w14:paraId="3DD94055">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甲方如出现下列行为，应按照《中华人民共和国民法典》的规定承担违约责任：</w:t>
      </w:r>
    </w:p>
    <w:p w14:paraId="013A8761">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1、甲方违反本合同约定，无正当理由拒绝接收乙方配送的医用耗材；</w:t>
      </w:r>
    </w:p>
    <w:p w14:paraId="154EE490">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2、甲方无正当理由未按照本合同约定的期限和采购医用耗材明细表完成采购；</w:t>
      </w:r>
    </w:p>
    <w:p w14:paraId="56A014E0">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3、甲方未按照本合同约定期限支付交易价款；</w:t>
      </w:r>
    </w:p>
    <w:p w14:paraId="70D108E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4、其他违反本合同约定的行为。</w:t>
      </w:r>
    </w:p>
    <w:p w14:paraId="5743C3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第九条乙方的违约责任</w:t>
      </w:r>
    </w:p>
    <w:p w14:paraId="62AFBBDF">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乙方如出现下列行为，应按照《中华人民共和国民法典》和《交易办法》的规定承担相应的违约责任：</w:t>
      </w:r>
    </w:p>
    <w:p w14:paraId="5504A59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1、违反本合同约定，不及时、不足量或拒绝供货；</w:t>
      </w:r>
    </w:p>
    <w:p w14:paraId="04A57C4C">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2、所供医用耗材不符合相关质量标准的；</w:t>
      </w:r>
    </w:p>
    <w:p w14:paraId="732DA0E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3、其他违反本合同约定的行为。</w:t>
      </w:r>
    </w:p>
    <w:p w14:paraId="431B144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第十条不可抗力</w:t>
      </w:r>
    </w:p>
    <w:p w14:paraId="616C2F6B">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合同当事人因不可抗力而导致合同实施延误或不能履行合同义务，不承担误期赔偿或终止合同的责任。（“不可抗力”系指合同双方无法控制、不可预见、不可克服的事件，但不包括合同某一方的违约或疏忽。这些事件包括但不限于：战争、严重火灾、洪水、台风、地震等事件）。在不可抗力事件发生后，合同一方应尽快以书面形式将不可抗力的情况和原因通知其他方。除各方另行协商达成一致外，合同各方应尽实际可能继续履行合同义务，以及寻求采取合理的方案履行不受不可抗力影响的其他事项。不可抗力事件影响消除后，合同各方可通过协商在合理的时间内达成进一步履行合同的协议。</w:t>
      </w:r>
    </w:p>
    <w:p w14:paraId="47E78D71">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第十一条合同的解除</w:t>
      </w:r>
    </w:p>
    <w:p w14:paraId="50A080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甲方有下列情形之一的，乙方有权解除合同；乙方存在下列情形之一的，甲方亦有权解除合同。</w:t>
      </w:r>
    </w:p>
    <w:p w14:paraId="7A8B0F59">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1.因不可抗力致使不能实现合同目的；</w:t>
      </w:r>
    </w:p>
    <w:p w14:paraId="3FE4ECF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2.在履行期限届满之前，明确表示或者以自己的行为表明不履行主要债务；</w:t>
      </w:r>
    </w:p>
    <w:p w14:paraId="7B5D21AE">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3.迟延履行主要债务，经催告后在合理期限内仍未履行；</w:t>
      </w:r>
    </w:p>
    <w:p w14:paraId="48707B1F">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4.迟延履行债务或者有其他违约行为致使不能实现合同目的；</w:t>
      </w:r>
    </w:p>
    <w:p w14:paraId="2920D126">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5.法律规定的其他情形。</w:t>
      </w:r>
    </w:p>
    <w:p w14:paraId="6C9EC237">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第十二条争议的解决</w:t>
      </w:r>
    </w:p>
    <w:p w14:paraId="089715E3">
      <w:pPr>
        <w:widowControl/>
        <w:spacing w:line="360" w:lineRule="auto"/>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任何因本合同而起或与本合同有关的纠纷，各方应协商解决；协商不成的，任何一方均有权向中国广州仲裁委员会提起仲裁，并按其当时有效的仲裁规则进行仲裁，仲裁结果对各方均具备最终约束力。</w:t>
      </w:r>
    </w:p>
    <w:p w14:paraId="1529AD1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第十三条其他</w:t>
      </w:r>
    </w:p>
    <w:p w14:paraId="7C10EEA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1、本合同附件及各方通过交易平台确认的具体订单为本合同的组成部分，具体订单中的内容与本合同约定不一致或本合同未作约定的，以订单为准。</w:t>
      </w:r>
    </w:p>
    <w:p w14:paraId="0B4D17A3">
      <w:pPr>
        <w:widowControl/>
        <w:spacing w:line="360" w:lineRule="auto"/>
        <w:ind w:firstLine="480" w:firstLineChars="200"/>
        <w:jc w:val="left"/>
        <w:rPr>
          <w:rFonts w:hint="eastAsia" w:ascii="宋体" w:hAnsi="宋体" w:eastAsia="宋体" w:cs="Times New Roman"/>
          <w:color w:val="000000"/>
          <w:sz w:val="24"/>
          <w:shd w:val="clear" w:color="auto" w:fill="FFFFFF"/>
          <w:lang w:eastAsia="zh-CN"/>
        </w:rPr>
      </w:pPr>
      <w:r>
        <w:rPr>
          <w:rFonts w:hint="eastAsia" w:ascii="宋体" w:hAnsi="宋体" w:eastAsia="宋体" w:cs="Times New Roman"/>
          <w:color w:val="000000"/>
          <w:sz w:val="24"/>
          <w:shd w:val="clear" w:color="auto" w:fill="FFFFFF"/>
        </w:rPr>
        <w:t>2、本合同未尽事项，各方可在不违背法律、法规、《交易办法》、交易平台有关规定的前提下，进行其他约定或另行签订补充协议。经各方签字盖章的补充协议与本合同具有同等法律效力。</w:t>
      </w:r>
    </w:p>
    <w:p w14:paraId="71286D0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3、本合同壹式两份，甲乙双方执壹份，均为正本，具有同等法律效力，本合同经双方签字盖章后生效，有效期为壹年。</w:t>
      </w:r>
    </w:p>
    <w:p w14:paraId="6C884BBE">
      <w:pPr>
        <w:widowControl/>
        <w:spacing w:line="360" w:lineRule="auto"/>
        <w:jc w:val="left"/>
        <w:rPr>
          <w:rFonts w:ascii="宋体" w:hAnsi="宋体" w:eastAsia="宋体" w:cs="Times New Roman"/>
          <w:color w:val="auto"/>
          <w:sz w:val="24"/>
          <w:shd w:val="clear" w:color="auto" w:fill="FFFFFF"/>
        </w:rPr>
      </w:pPr>
    </w:p>
    <w:p w14:paraId="2EC2E391">
      <w:pPr>
        <w:spacing w:line="360" w:lineRule="auto"/>
        <w:rPr>
          <w:rFonts w:ascii="宋体" w:hAnsi="宋体"/>
          <w:color w:val="auto"/>
          <w:sz w:val="24"/>
          <w:u w:val="none"/>
        </w:rPr>
      </w:pPr>
      <w:r>
        <w:rPr>
          <w:rFonts w:hint="eastAsia" w:ascii="宋体" w:hAnsi="宋体"/>
          <w:color w:val="auto"/>
          <w:sz w:val="24"/>
        </w:rPr>
        <w:t>甲方（章）</w:t>
      </w:r>
      <w:r>
        <w:rPr>
          <w:rFonts w:hint="eastAsia" w:ascii="宋体" w:hAnsi="宋体"/>
          <w:color w:val="auto"/>
          <w:sz w:val="24"/>
          <w:u w:val="none"/>
        </w:rPr>
        <w:t>：中山市中医院乙方（章）：</w:t>
      </w:r>
    </w:p>
    <w:p w14:paraId="7AE4FDCC">
      <w:pPr>
        <w:spacing w:before="156" w:beforeLines="50" w:after="156" w:afterLines="50" w:line="360" w:lineRule="auto"/>
        <w:rPr>
          <w:rFonts w:ascii="宋体" w:hAnsi="宋体"/>
          <w:color w:val="auto"/>
          <w:sz w:val="24"/>
          <w:u w:val="none"/>
        </w:rPr>
      </w:pP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w:t>
      </w:r>
    </w:p>
    <w:p w14:paraId="50087035">
      <w:pPr>
        <w:spacing w:line="360" w:lineRule="auto"/>
        <w:rPr>
          <w:rFonts w:ascii="宋体" w:hAnsi="宋体"/>
          <w:color w:val="auto"/>
          <w:sz w:val="24"/>
          <w:u w:val="none"/>
        </w:rPr>
      </w:pPr>
      <w:r>
        <w:rPr>
          <w:rFonts w:hint="eastAsia" w:ascii="宋体" w:hAnsi="宋体"/>
          <w:color w:val="auto"/>
          <w:sz w:val="24"/>
          <w:u w:val="none"/>
        </w:rPr>
        <w:t>单位地址：中山市西区康欣路3号单位地址：</w:t>
      </w:r>
    </w:p>
    <w:p w14:paraId="2A92E3FF">
      <w:pPr>
        <w:spacing w:line="360" w:lineRule="auto"/>
        <w:rPr>
          <w:rFonts w:ascii="宋体" w:hAnsi="宋体"/>
          <w:color w:val="auto"/>
          <w:sz w:val="24"/>
          <w:u w:val="none"/>
        </w:rPr>
      </w:pPr>
      <w:r>
        <w:rPr>
          <w:rFonts w:hint="eastAsia" w:ascii="宋体" w:hAnsi="宋体"/>
          <w:color w:val="auto"/>
          <w:sz w:val="24"/>
          <w:u w:val="none"/>
        </w:rPr>
        <w:t>联系电话：0760-89980318</w:t>
      </w:r>
      <w:r>
        <w:rPr>
          <w:rFonts w:hint="eastAsia" w:ascii="宋体" w:hAnsi="宋体"/>
          <w:color w:val="auto"/>
          <w:sz w:val="24"/>
          <w:u w:val="none"/>
          <w:lang w:val="en-US" w:eastAsia="zh-CN"/>
        </w:rPr>
        <w:t xml:space="preserve">          </w:t>
      </w:r>
      <w:r>
        <w:rPr>
          <w:rFonts w:hint="eastAsia" w:ascii="宋体" w:hAnsi="宋体"/>
          <w:color w:val="auto"/>
          <w:sz w:val="24"/>
          <w:u w:val="none"/>
        </w:rPr>
        <w:t>联系电话：</w:t>
      </w:r>
    </w:p>
    <w:p w14:paraId="44D12D3A">
      <w:pPr>
        <w:spacing w:line="360" w:lineRule="auto"/>
        <w:rPr>
          <w:rFonts w:ascii="宋体" w:hAnsi="宋体"/>
          <w:color w:val="auto"/>
          <w:sz w:val="24"/>
          <w:u w:val="none"/>
        </w:rPr>
      </w:pPr>
      <w:r>
        <w:rPr>
          <w:rFonts w:hint="eastAsia" w:ascii="宋体" w:hAnsi="宋体"/>
          <w:color w:val="auto"/>
          <w:sz w:val="24"/>
          <w:u w:val="none"/>
        </w:rPr>
        <w:t>签约时间：202</w:t>
      </w:r>
      <w:r>
        <w:rPr>
          <w:rFonts w:hint="eastAsia" w:ascii="宋体" w:hAnsi="宋体"/>
          <w:color w:val="auto"/>
          <w:sz w:val="24"/>
          <w:u w:val="none"/>
          <w:lang w:val="en-US" w:eastAsia="zh-CN"/>
        </w:rPr>
        <w:t>6</w:t>
      </w:r>
      <w:r>
        <w:rPr>
          <w:rFonts w:hint="eastAsia" w:ascii="宋体" w:hAnsi="宋体"/>
          <w:color w:val="auto"/>
          <w:sz w:val="24"/>
          <w:u w:val="none"/>
        </w:rPr>
        <w:t>年7月1日</w:t>
      </w:r>
    </w:p>
    <w:p w14:paraId="3F6A1392">
      <w:pPr>
        <w:spacing w:line="360" w:lineRule="auto"/>
        <w:rPr>
          <w:rFonts w:ascii="宋体" w:hAnsi="宋体"/>
          <w:color w:val="auto"/>
          <w:sz w:val="24"/>
        </w:rPr>
      </w:pPr>
    </w:p>
    <w:p w14:paraId="646D09F4">
      <w:pPr>
        <w:spacing w:line="360" w:lineRule="auto"/>
        <w:rPr>
          <w:rFonts w:ascii="宋体" w:hAnsi="宋体"/>
          <w:color w:val="auto"/>
          <w:sz w:val="24"/>
        </w:rPr>
      </w:pPr>
    </w:p>
    <w:p w14:paraId="0B484060">
      <w:pPr>
        <w:widowControl/>
        <w:autoSpaceDE w:val="0"/>
        <w:autoSpaceDN w:val="0"/>
        <w:adjustRightInd w:val="0"/>
        <w:spacing w:line="360" w:lineRule="auto"/>
        <w:jc w:val="center"/>
        <w:rPr>
          <w:rFonts w:ascii="宋体" w:hAnsi="宋体" w:eastAsia="宋体" w:cs="仿宋_GB2312"/>
          <w:b/>
          <w:color w:val="auto"/>
          <w:kern w:val="0"/>
          <w:sz w:val="28"/>
          <w:szCs w:val="28"/>
        </w:rPr>
      </w:pPr>
      <w:r>
        <w:rPr>
          <w:rFonts w:hint="eastAsia" w:ascii="宋体" w:hAnsi="宋体" w:eastAsia="宋体" w:cs="仿宋_GB2312"/>
          <w:b/>
          <w:color w:val="auto"/>
          <w:kern w:val="0"/>
          <w:sz w:val="28"/>
          <w:szCs w:val="28"/>
        </w:rPr>
        <w:t>医疗卫生机构医药产品廉洁购销合同</w:t>
      </w:r>
    </w:p>
    <w:p w14:paraId="11F0772D">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甲方（医疗卫生机构）：中山市中医院</w:t>
      </w:r>
    </w:p>
    <w:p w14:paraId="069B5CF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乙方（医药生产经营企业及其代理人）：</w:t>
      </w:r>
    </w:p>
    <w:p w14:paraId="271212E3">
      <w:pPr>
        <w:widowControl/>
        <w:spacing w:line="360" w:lineRule="auto"/>
        <w:ind w:firstLine="480" w:firstLineChars="200"/>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为进一步加强医疗卫生行风建设，规范医疗卫生机构医药购销行为，有效防范商业贿赂行为，营造公平交易、诚实守信的购销环境，经甲、乙双方协商，同意签订本合同，并共同遵守：</w:t>
      </w:r>
    </w:p>
    <w:p w14:paraId="414B595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一、甲乙双方按照《中华人民共和国民法典》及医药产品购销合同约定购销药品、医用设备、医用耗材等医药产品。</w:t>
      </w:r>
    </w:p>
    <w:p w14:paraId="705E8071">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二、甲方应当严格执行医药产品购销合同验收、入库制度，对采购医药产品及发票进行查验，不得违反有关规定合同外采购、违价采购或从非规定渠道采购。</w:t>
      </w:r>
    </w:p>
    <w:p w14:paraId="286B6E26">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F87580E">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四、严禁甲方工作人员利用任何途径和方式，为乙方统计医师个人及临床科室有关医药产品用量信息，或为乙方统计提供便利。</w:t>
      </w:r>
    </w:p>
    <w:p w14:paraId="1B50430C">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五、乙方不得以回扣、宴请等方式影响甲方工作人员采购或使用医药产品的选择权，不得在学术活动中提供旅游、超标准支付食宿费用。</w:t>
      </w:r>
    </w:p>
    <w:p w14:paraId="1B21988A">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5CB629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9CB1BA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八、本合同作为医药产品购销合同的重要组成部分，与购销合同一并执行，具有同等的法律效力。</w:t>
      </w:r>
    </w:p>
    <w:p w14:paraId="35FBF62F">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九、</w:t>
      </w:r>
      <w:r>
        <w:rPr>
          <w:rFonts w:hint="eastAsia" w:ascii="宋体" w:hAnsi="宋体"/>
          <w:color w:val="auto"/>
          <w:sz w:val="24"/>
          <w:shd w:val="clear" w:color="auto" w:fill="FFFFFF"/>
        </w:rPr>
        <w:t>本协议书一式两份，甲、乙双方各执一份，</w:t>
      </w:r>
      <w:r>
        <w:rPr>
          <w:rFonts w:hint="eastAsia" w:ascii="宋体" w:hAnsi="宋体" w:eastAsia="宋体" w:cs="Times New Roman"/>
          <w:color w:val="auto"/>
          <w:sz w:val="24"/>
          <w:shd w:val="clear" w:color="auto" w:fill="FFFFFF"/>
        </w:rPr>
        <w:t>并从签订之日起生效。</w:t>
      </w:r>
    </w:p>
    <w:p w14:paraId="01201C45">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甲方（盖章）：中山市中医院乙方（盖章）：</w:t>
      </w:r>
    </w:p>
    <w:p w14:paraId="5C6D55C3">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w:t>
      </w:r>
    </w:p>
    <w:p w14:paraId="6F1DCF89">
      <w:pPr>
        <w:jc w:val="left"/>
        <w:rPr>
          <w:rFonts w:hint="eastAsia" w:ascii="宋体" w:hAnsi="宋体"/>
          <w:color w:val="auto"/>
          <w:sz w:val="24"/>
          <w:shd w:val="clear" w:color="auto" w:fill="FFFFFF"/>
        </w:rPr>
      </w:pPr>
      <w:r>
        <w:rPr>
          <w:rFonts w:hint="eastAsia" w:ascii="宋体" w:hAnsi="宋体"/>
          <w:color w:val="auto"/>
          <w:sz w:val="24"/>
          <w:shd w:val="clear" w:color="auto" w:fill="FFFFFF"/>
        </w:rPr>
        <w:t>签约日期：202</w:t>
      </w:r>
      <w:r>
        <w:rPr>
          <w:rFonts w:hint="eastAsia" w:ascii="宋体" w:hAnsi="宋体"/>
          <w:color w:val="auto"/>
          <w:sz w:val="24"/>
          <w:shd w:val="clear" w:color="auto" w:fill="FFFFFF"/>
          <w:lang w:val="en-US" w:eastAsia="zh-CN"/>
        </w:rPr>
        <w:t>6</w:t>
      </w:r>
      <w:r>
        <w:rPr>
          <w:rFonts w:hint="eastAsia" w:ascii="宋体" w:hAnsi="宋体"/>
          <w:color w:val="auto"/>
          <w:sz w:val="24"/>
          <w:shd w:val="clear" w:color="auto" w:fill="FFFFFF"/>
        </w:rPr>
        <w:t>年7月1日</w:t>
      </w:r>
    </w:p>
    <w:p w14:paraId="54A8F647">
      <w:pPr>
        <w:jc w:val="left"/>
        <w:rPr>
          <w:rFonts w:hint="eastAsia" w:ascii="宋体" w:hAnsi="宋体"/>
          <w:color w:val="auto"/>
          <w:sz w:val="24"/>
          <w:shd w:val="clear" w:color="auto" w:fill="FFFFFF"/>
        </w:rPr>
      </w:pPr>
    </w:p>
    <w:tbl>
      <w:tblPr>
        <w:tblStyle w:val="20"/>
        <w:tblpPr w:leftFromText="180" w:rightFromText="180" w:vertAnchor="text" w:horzAnchor="page" w:tblpX="686" w:tblpY="-233"/>
        <w:tblOverlap w:val="never"/>
        <w:tblW w:w="5000" w:type="pct"/>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83"/>
        <w:gridCol w:w="984"/>
        <w:gridCol w:w="984"/>
        <w:gridCol w:w="984"/>
        <w:gridCol w:w="984"/>
        <w:gridCol w:w="1176"/>
        <w:gridCol w:w="1368"/>
        <w:gridCol w:w="1224"/>
      </w:tblGrid>
      <w:tr w14:paraId="02A1332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00" w:type="pct"/>
            <w:gridSpan w:val="9"/>
            <w:tcBorders>
              <w:tl2br w:val="nil"/>
              <w:tr2bl w:val="nil"/>
            </w:tcBorders>
            <w:shd w:val="clear" w:color="auto" w:fill="auto"/>
            <w:noWrap/>
            <w:vAlign w:val="center"/>
          </w:tcPr>
          <w:p w14:paraId="78C0A416">
            <w:pPr>
              <w:jc w:val="center"/>
              <w:rPr>
                <w:rFonts w:ascii="宋体" w:hAnsi="宋体" w:cs="宋体"/>
                <w:b/>
                <w:color w:val="000000"/>
                <w:kern w:val="0"/>
                <w:sz w:val="32"/>
                <w:szCs w:val="32"/>
              </w:rPr>
            </w:pPr>
            <w:r>
              <w:rPr>
                <w:rFonts w:hint="eastAsia" w:ascii="宋体" w:hAnsi="宋体" w:cs="宋体"/>
                <w:b/>
                <w:color w:val="000000"/>
                <w:kern w:val="0"/>
                <w:sz w:val="32"/>
                <w:szCs w:val="32"/>
              </w:rPr>
              <w:t>医用耗材采购明细表</w:t>
            </w:r>
          </w:p>
        </w:tc>
      </w:tr>
      <w:tr w14:paraId="2DA50E3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5B6C80A3">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490" w:type="pct"/>
            <w:shd w:val="clear" w:color="auto" w:fill="auto"/>
            <w:noWrap/>
            <w:vAlign w:val="center"/>
          </w:tcPr>
          <w:p w14:paraId="4A7A8725">
            <w:pPr>
              <w:jc w:val="center"/>
              <w:rPr>
                <w:rFonts w:ascii="宋体" w:hAnsi="宋体" w:cs="宋体"/>
                <w:color w:val="000000"/>
                <w:kern w:val="0"/>
                <w:sz w:val="22"/>
                <w:szCs w:val="22"/>
              </w:rPr>
            </w:pPr>
            <w:r>
              <w:rPr>
                <w:rFonts w:hint="eastAsia" w:ascii="宋体" w:hAnsi="宋体" w:cs="宋体"/>
                <w:color w:val="000000"/>
                <w:kern w:val="0"/>
                <w:sz w:val="22"/>
                <w:szCs w:val="22"/>
              </w:rPr>
              <w:t>产品名称</w:t>
            </w:r>
          </w:p>
        </w:tc>
        <w:tc>
          <w:tcPr>
            <w:tcW w:w="491" w:type="pct"/>
            <w:shd w:val="clear" w:color="auto" w:fill="auto"/>
            <w:noWrap/>
            <w:vAlign w:val="center"/>
          </w:tcPr>
          <w:p w14:paraId="38E29EA6">
            <w:pPr>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491" w:type="pct"/>
            <w:shd w:val="clear" w:color="auto" w:fill="auto"/>
            <w:noWrap/>
            <w:vAlign w:val="center"/>
          </w:tcPr>
          <w:p w14:paraId="586ED32E">
            <w:pPr>
              <w:jc w:val="center"/>
              <w:rPr>
                <w:rFonts w:ascii="宋体" w:hAnsi="宋体" w:cs="宋体"/>
                <w:color w:val="000000"/>
                <w:kern w:val="0"/>
                <w:sz w:val="22"/>
                <w:szCs w:val="22"/>
              </w:rPr>
            </w:pPr>
            <w:r>
              <w:rPr>
                <w:rFonts w:hint="eastAsia" w:ascii="宋体" w:hAnsi="宋体" w:cs="宋体"/>
                <w:color w:val="000000"/>
                <w:kern w:val="0"/>
                <w:sz w:val="22"/>
                <w:szCs w:val="22"/>
              </w:rPr>
              <w:t>注册证号</w:t>
            </w:r>
          </w:p>
        </w:tc>
        <w:tc>
          <w:tcPr>
            <w:tcW w:w="491" w:type="pct"/>
            <w:shd w:val="clear" w:color="auto" w:fill="auto"/>
            <w:noWrap/>
            <w:vAlign w:val="center"/>
          </w:tcPr>
          <w:p w14:paraId="788A0406">
            <w:pPr>
              <w:jc w:val="center"/>
              <w:rPr>
                <w:rFonts w:ascii="宋体" w:hAnsi="宋体" w:cs="宋体"/>
                <w:color w:val="000000"/>
                <w:kern w:val="0"/>
                <w:sz w:val="22"/>
                <w:szCs w:val="22"/>
              </w:rPr>
            </w:pPr>
            <w:r>
              <w:rPr>
                <w:rFonts w:hint="eastAsia" w:ascii="宋体" w:hAnsi="宋体" w:cs="宋体"/>
                <w:color w:val="000000"/>
                <w:kern w:val="0"/>
                <w:sz w:val="22"/>
                <w:szCs w:val="22"/>
              </w:rPr>
              <w:t>生产企业</w:t>
            </w:r>
          </w:p>
        </w:tc>
        <w:tc>
          <w:tcPr>
            <w:tcW w:w="491" w:type="pct"/>
            <w:shd w:val="clear" w:color="auto" w:fill="auto"/>
            <w:noWrap/>
            <w:vAlign w:val="center"/>
          </w:tcPr>
          <w:p w14:paraId="1FEBCE66">
            <w:pPr>
              <w:jc w:val="center"/>
              <w:rPr>
                <w:rFonts w:ascii="宋体" w:hAnsi="宋体" w:cs="宋体"/>
                <w:color w:val="000000"/>
                <w:kern w:val="0"/>
                <w:sz w:val="22"/>
                <w:szCs w:val="22"/>
              </w:rPr>
            </w:pPr>
            <w:r>
              <w:rPr>
                <w:rFonts w:hint="eastAsia" w:ascii="宋体" w:hAnsi="宋体" w:cs="宋体"/>
                <w:color w:val="000000"/>
                <w:kern w:val="0"/>
                <w:sz w:val="22"/>
                <w:szCs w:val="22"/>
              </w:rPr>
              <w:t>包装单位</w:t>
            </w:r>
          </w:p>
        </w:tc>
        <w:tc>
          <w:tcPr>
            <w:tcW w:w="587" w:type="pct"/>
            <w:shd w:val="clear" w:color="auto" w:fill="auto"/>
            <w:noWrap/>
            <w:vAlign w:val="center"/>
          </w:tcPr>
          <w:p w14:paraId="3E42E3A7">
            <w:pPr>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683" w:type="pct"/>
            <w:shd w:val="clear" w:color="auto" w:fill="auto"/>
            <w:noWrap/>
            <w:vAlign w:val="center"/>
          </w:tcPr>
          <w:p w14:paraId="52FA90A0">
            <w:pPr>
              <w:jc w:val="center"/>
              <w:rPr>
                <w:rFonts w:ascii="宋体" w:hAnsi="宋体" w:cs="宋体"/>
                <w:color w:val="000000"/>
                <w:kern w:val="0"/>
                <w:sz w:val="22"/>
                <w:szCs w:val="22"/>
              </w:rPr>
            </w:pPr>
            <w:r>
              <w:rPr>
                <w:rFonts w:hint="eastAsia" w:ascii="宋体" w:hAnsi="宋体" w:cs="宋体"/>
                <w:color w:val="000000"/>
                <w:kern w:val="0"/>
                <w:sz w:val="22"/>
                <w:szCs w:val="22"/>
              </w:rPr>
              <w:t>国家医保编码</w:t>
            </w:r>
          </w:p>
        </w:tc>
        <w:tc>
          <w:tcPr>
            <w:tcW w:w="972" w:type="pct"/>
            <w:tcBorders>
              <w:right w:val="single" w:color="auto" w:sz="4" w:space="0"/>
            </w:tcBorders>
            <w:shd w:val="clear" w:color="auto" w:fill="auto"/>
            <w:noWrap/>
            <w:vAlign w:val="center"/>
          </w:tcPr>
          <w:p w14:paraId="7BEE172D">
            <w:pPr>
              <w:jc w:val="center"/>
              <w:rPr>
                <w:rFonts w:ascii="宋体" w:hAnsi="宋体" w:eastAsia="宋体" w:cs="宋体"/>
                <w:color w:val="000000"/>
                <w:kern w:val="0"/>
                <w:sz w:val="22"/>
                <w:szCs w:val="22"/>
              </w:rPr>
            </w:pPr>
            <w:r>
              <w:rPr>
                <w:rFonts w:hint="eastAsia" w:ascii="宋体" w:hAnsi="宋体" w:cs="宋体"/>
                <w:color w:val="000000"/>
                <w:kern w:val="0"/>
                <w:sz w:val="22"/>
                <w:szCs w:val="22"/>
              </w:rPr>
              <w:t>省网药交ID</w:t>
            </w:r>
          </w:p>
        </w:tc>
      </w:tr>
      <w:tr w14:paraId="32BCFAF5">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37C01309">
            <w:pPr>
              <w:jc w:val="center"/>
              <w:rPr>
                <w:rFonts w:ascii="宋体" w:hAnsi="宋体" w:cs="宋体"/>
                <w:color w:val="000000"/>
                <w:kern w:val="0"/>
                <w:sz w:val="22"/>
                <w:szCs w:val="22"/>
              </w:rPr>
            </w:pPr>
          </w:p>
        </w:tc>
        <w:tc>
          <w:tcPr>
            <w:tcW w:w="490" w:type="pct"/>
            <w:shd w:val="clear" w:color="auto" w:fill="auto"/>
            <w:noWrap/>
            <w:vAlign w:val="center"/>
          </w:tcPr>
          <w:p w14:paraId="2183F75E">
            <w:pPr>
              <w:jc w:val="center"/>
              <w:rPr>
                <w:rFonts w:ascii="宋体" w:hAnsi="宋体" w:cs="宋体"/>
                <w:color w:val="000000"/>
                <w:kern w:val="0"/>
                <w:sz w:val="22"/>
                <w:szCs w:val="22"/>
              </w:rPr>
            </w:pPr>
          </w:p>
        </w:tc>
        <w:tc>
          <w:tcPr>
            <w:tcW w:w="491" w:type="pct"/>
            <w:shd w:val="clear" w:color="auto" w:fill="auto"/>
            <w:noWrap/>
            <w:vAlign w:val="center"/>
          </w:tcPr>
          <w:p w14:paraId="43F63801">
            <w:pPr>
              <w:jc w:val="center"/>
              <w:rPr>
                <w:rFonts w:ascii="宋体" w:hAnsi="宋体" w:cs="宋体"/>
                <w:color w:val="000000"/>
                <w:kern w:val="0"/>
                <w:sz w:val="22"/>
                <w:szCs w:val="22"/>
              </w:rPr>
            </w:pPr>
          </w:p>
        </w:tc>
        <w:tc>
          <w:tcPr>
            <w:tcW w:w="491" w:type="pct"/>
            <w:shd w:val="clear" w:color="auto" w:fill="auto"/>
            <w:noWrap/>
            <w:vAlign w:val="center"/>
          </w:tcPr>
          <w:p w14:paraId="198CBEA5">
            <w:pPr>
              <w:jc w:val="center"/>
              <w:rPr>
                <w:rFonts w:ascii="宋体" w:hAnsi="宋体" w:cs="宋体"/>
                <w:color w:val="000000"/>
                <w:kern w:val="0"/>
                <w:sz w:val="22"/>
                <w:szCs w:val="22"/>
              </w:rPr>
            </w:pPr>
          </w:p>
        </w:tc>
        <w:tc>
          <w:tcPr>
            <w:tcW w:w="491" w:type="pct"/>
            <w:shd w:val="clear" w:color="auto" w:fill="auto"/>
            <w:noWrap/>
            <w:vAlign w:val="center"/>
          </w:tcPr>
          <w:p w14:paraId="4896532D">
            <w:pPr>
              <w:jc w:val="center"/>
              <w:rPr>
                <w:rFonts w:ascii="宋体" w:hAnsi="宋体" w:cs="宋体"/>
                <w:color w:val="000000"/>
                <w:kern w:val="0"/>
                <w:sz w:val="22"/>
                <w:szCs w:val="22"/>
              </w:rPr>
            </w:pPr>
          </w:p>
        </w:tc>
        <w:tc>
          <w:tcPr>
            <w:tcW w:w="491" w:type="pct"/>
            <w:shd w:val="clear" w:color="auto" w:fill="auto"/>
            <w:noWrap/>
            <w:vAlign w:val="center"/>
          </w:tcPr>
          <w:p w14:paraId="0452174B">
            <w:pPr>
              <w:jc w:val="center"/>
              <w:rPr>
                <w:rFonts w:ascii="宋体" w:hAnsi="宋体" w:cs="宋体"/>
                <w:color w:val="000000"/>
                <w:kern w:val="0"/>
                <w:sz w:val="22"/>
                <w:szCs w:val="22"/>
              </w:rPr>
            </w:pPr>
          </w:p>
        </w:tc>
        <w:tc>
          <w:tcPr>
            <w:tcW w:w="587" w:type="pct"/>
            <w:shd w:val="clear" w:color="auto" w:fill="auto"/>
            <w:noWrap/>
            <w:vAlign w:val="center"/>
          </w:tcPr>
          <w:p w14:paraId="4502962B">
            <w:pPr>
              <w:jc w:val="center"/>
              <w:rPr>
                <w:rFonts w:ascii="宋体" w:hAnsi="宋体" w:cs="宋体"/>
                <w:color w:val="000000"/>
                <w:kern w:val="0"/>
                <w:sz w:val="22"/>
                <w:szCs w:val="22"/>
              </w:rPr>
            </w:pPr>
          </w:p>
        </w:tc>
        <w:tc>
          <w:tcPr>
            <w:tcW w:w="683" w:type="pct"/>
            <w:shd w:val="clear" w:color="auto" w:fill="auto"/>
            <w:noWrap/>
            <w:vAlign w:val="center"/>
          </w:tcPr>
          <w:p w14:paraId="339E7F93">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07CA5131">
            <w:pPr>
              <w:jc w:val="center"/>
              <w:rPr>
                <w:rFonts w:ascii="宋体" w:hAnsi="宋体" w:cs="宋体"/>
                <w:color w:val="000000"/>
                <w:kern w:val="0"/>
                <w:sz w:val="22"/>
                <w:szCs w:val="22"/>
              </w:rPr>
            </w:pPr>
          </w:p>
        </w:tc>
      </w:tr>
      <w:tr w14:paraId="1E87BF4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4E076164">
            <w:pPr>
              <w:jc w:val="center"/>
              <w:rPr>
                <w:rFonts w:ascii="宋体" w:hAnsi="宋体" w:cs="宋体"/>
                <w:color w:val="000000"/>
                <w:kern w:val="0"/>
                <w:sz w:val="22"/>
                <w:szCs w:val="22"/>
              </w:rPr>
            </w:pPr>
          </w:p>
        </w:tc>
        <w:tc>
          <w:tcPr>
            <w:tcW w:w="490" w:type="pct"/>
            <w:shd w:val="clear" w:color="auto" w:fill="auto"/>
            <w:noWrap/>
            <w:vAlign w:val="center"/>
          </w:tcPr>
          <w:p w14:paraId="244D7DB9">
            <w:pPr>
              <w:jc w:val="center"/>
              <w:rPr>
                <w:rFonts w:ascii="宋体" w:hAnsi="宋体" w:cs="宋体"/>
                <w:color w:val="000000"/>
                <w:kern w:val="0"/>
                <w:sz w:val="22"/>
                <w:szCs w:val="22"/>
              </w:rPr>
            </w:pPr>
          </w:p>
        </w:tc>
        <w:tc>
          <w:tcPr>
            <w:tcW w:w="491" w:type="pct"/>
            <w:shd w:val="clear" w:color="auto" w:fill="auto"/>
            <w:noWrap/>
            <w:vAlign w:val="center"/>
          </w:tcPr>
          <w:p w14:paraId="7F794A45">
            <w:pPr>
              <w:jc w:val="center"/>
              <w:rPr>
                <w:rFonts w:ascii="宋体" w:hAnsi="宋体" w:cs="宋体"/>
                <w:color w:val="000000"/>
                <w:kern w:val="0"/>
                <w:sz w:val="22"/>
                <w:szCs w:val="22"/>
              </w:rPr>
            </w:pPr>
          </w:p>
        </w:tc>
        <w:tc>
          <w:tcPr>
            <w:tcW w:w="491" w:type="pct"/>
            <w:shd w:val="clear" w:color="auto" w:fill="auto"/>
            <w:noWrap/>
            <w:vAlign w:val="center"/>
          </w:tcPr>
          <w:p w14:paraId="596561D4">
            <w:pPr>
              <w:jc w:val="center"/>
              <w:rPr>
                <w:rFonts w:ascii="宋体" w:hAnsi="宋体" w:cs="宋体"/>
                <w:color w:val="000000"/>
                <w:kern w:val="0"/>
                <w:sz w:val="22"/>
                <w:szCs w:val="22"/>
              </w:rPr>
            </w:pPr>
          </w:p>
        </w:tc>
        <w:tc>
          <w:tcPr>
            <w:tcW w:w="491" w:type="pct"/>
            <w:shd w:val="clear" w:color="auto" w:fill="auto"/>
            <w:noWrap/>
            <w:vAlign w:val="center"/>
          </w:tcPr>
          <w:p w14:paraId="3D194FBE">
            <w:pPr>
              <w:jc w:val="center"/>
              <w:rPr>
                <w:rFonts w:ascii="宋体" w:hAnsi="宋体" w:cs="宋体"/>
                <w:color w:val="000000"/>
                <w:kern w:val="0"/>
                <w:sz w:val="22"/>
                <w:szCs w:val="22"/>
              </w:rPr>
            </w:pPr>
          </w:p>
        </w:tc>
        <w:tc>
          <w:tcPr>
            <w:tcW w:w="491" w:type="pct"/>
            <w:shd w:val="clear" w:color="auto" w:fill="auto"/>
            <w:noWrap/>
            <w:vAlign w:val="center"/>
          </w:tcPr>
          <w:p w14:paraId="7DD02037">
            <w:pPr>
              <w:jc w:val="center"/>
              <w:rPr>
                <w:rFonts w:ascii="宋体" w:hAnsi="宋体" w:cs="宋体"/>
                <w:color w:val="000000"/>
                <w:kern w:val="0"/>
                <w:sz w:val="22"/>
                <w:szCs w:val="22"/>
              </w:rPr>
            </w:pPr>
          </w:p>
        </w:tc>
        <w:tc>
          <w:tcPr>
            <w:tcW w:w="587" w:type="pct"/>
            <w:shd w:val="clear" w:color="auto" w:fill="auto"/>
            <w:noWrap/>
            <w:vAlign w:val="center"/>
          </w:tcPr>
          <w:p w14:paraId="25069C07">
            <w:pPr>
              <w:jc w:val="center"/>
              <w:rPr>
                <w:rFonts w:ascii="宋体" w:hAnsi="宋体" w:cs="宋体"/>
                <w:color w:val="000000"/>
                <w:kern w:val="0"/>
                <w:sz w:val="22"/>
                <w:szCs w:val="22"/>
              </w:rPr>
            </w:pPr>
          </w:p>
        </w:tc>
        <w:tc>
          <w:tcPr>
            <w:tcW w:w="683" w:type="pct"/>
            <w:shd w:val="clear" w:color="auto" w:fill="auto"/>
            <w:noWrap/>
            <w:vAlign w:val="center"/>
          </w:tcPr>
          <w:p w14:paraId="2DF46F01">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61FF259">
            <w:pPr>
              <w:jc w:val="center"/>
              <w:rPr>
                <w:rFonts w:ascii="宋体" w:hAnsi="宋体" w:cs="宋体"/>
                <w:color w:val="000000"/>
                <w:kern w:val="0"/>
                <w:sz w:val="22"/>
                <w:szCs w:val="22"/>
              </w:rPr>
            </w:pPr>
          </w:p>
        </w:tc>
      </w:tr>
      <w:tr w14:paraId="1E94ACA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4F5250B3">
            <w:pPr>
              <w:jc w:val="center"/>
              <w:rPr>
                <w:rFonts w:ascii="宋体" w:hAnsi="宋体" w:cs="宋体"/>
                <w:color w:val="000000"/>
                <w:kern w:val="0"/>
                <w:sz w:val="22"/>
                <w:szCs w:val="22"/>
              </w:rPr>
            </w:pPr>
          </w:p>
        </w:tc>
        <w:tc>
          <w:tcPr>
            <w:tcW w:w="490" w:type="pct"/>
            <w:shd w:val="clear" w:color="auto" w:fill="auto"/>
            <w:noWrap/>
            <w:vAlign w:val="center"/>
          </w:tcPr>
          <w:p w14:paraId="3B5D403E">
            <w:pPr>
              <w:jc w:val="center"/>
              <w:rPr>
                <w:rFonts w:ascii="宋体" w:hAnsi="宋体" w:cs="宋体"/>
                <w:color w:val="000000"/>
                <w:kern w:val="0"/>
                <w:sz w:val="22"/>
                <w:szCs w:val="22"/>
              </w:rPr>
            </w:pPr>
          </w:p>
        </w:tc>
        <w:tc>
          <w:tcPr>
            <w:tcW w:w="491" w:type="pct"/>
            <w:shd w:val="clear" w:color="auto" w:fill="auto"/>
            <w:noWrap/>
            <w:vAlign w:val="center"/>
          </w:tcPr>
          <w:p w14:paraId="17A349D3">
            <w:pPr>
              <w:jc w:val="center"/>
              <w:rPr>
                <w:rFonts w:ascii="宋体" w:hAnsi="宋体" w:cs="宋体"/>
                <w:color w:val="000000"/>
                <w:kern w:val="0"/>
                <w:sz w:val="22"/>
                <w:szCs w:val="22"/>
              </w:rPr>
            </w:pPr>
          </w:p>
        </w:tc>
        <w:tc>
          <w:tcPr>
            <w:tcW w:w="491" w:type="pct"/>
            <w:shd w:val="clear" w:color="auto" w:fill="auto"/>
            <w:noWrap/>
            <w:vAlign w:val="center"/>
          </w:tcPr>
          <w:p w14:paraId="43B447CC">
            <w:pPr>
              <w:jc w:val="center"/>
              <w:rPr>
                <w:rFonts w:ascii="宋体" w:hAnsi="宋体" w:cs="宋体"/>
                <w:color w:val="000000"/>
                <w:kern w:val="0"/>
                <w:sz w:val="22"/>
                <w:szCs w:val="22"/>
              </w:rPr>
            </w:pPr>
          </w:p>
        </w:tc>
        <w:tc>
          <w:tcPr>
            <w:tcW w:w="491" w:type="pct"/>
            <w:shd w:val="clear" w:color="auto" w:fill="auto"/>
            <w:noWrap/>
            <w:vAlign w:val="center"/>
          </w:tcPr>
          <w:p w14:paraId="6E2F134B">
            <w:pPr>
              <w:jc w:val="center"/>
              <w:rPr>
                <w:rFonts w:ascii="宋体" w:hAnsi="宋体" w:cs="宋体"/>
                <w:color w:val="000000"/>
                <w:kern w:val="0"/>
                <w:sz w:val="22"/>
                <w:szCs w:val="22"/>
              </w:rPr>
            </w:pPr>
          </w:p>
        </w:tc>
        <w:tc>
          <w:tcPr>
            <w:tcW w:w="491" w:type="pct"/>
            <w:shd w:val="clear" w:color="auto" w:fill="auto"/>
            <w:noWrap/>
            <w:vAlign w:val="center"/>
          </w:tcPr>
          <w:p w14:paraId="164031D1">
            <w:pPr>
              <w:jc w:val="center"/>
              <w:rPr>
                <w:rFonts w:ascii="宋体" w:hAnsi="宋体" w:cs="宋体"/>
                <w:color w:val="000000"/>
                <w:kern w:val="0"/>
                <w:sz w:val="22"/>
                <w:szCs w:val="22"/>
              </w:rPr>
            </w:pPr>
          </w:p>
        </w:tc>
        <w:tc>
          <w:tcPr>
            <w:tcW w:w="587" w:type="pct"/>
            <w:shd w:val="clear" w:color="auto" w:fill="auto"/>
            <w:noWrap/>
            <w:vAlign w:val="center"/>
          </w:tcPr>
          <w:p w14:paraId="5AF1ED25">
            <w:pPr>
              <w:jc w:val="center"/>
              <w:rPr>
                <w:rFonts w:ascii="宋体" w:hAnsi="宋体" w:cs="宋体"/>
                <w:color w:val="000000"/>
                <w:kern w:val="0"/>
                <w:sz w:val="22"/>
                <w:szCs w:val="22"/>
              </w:rPr>
            </w:pPr>
          </w:p>
        </w:tc>
        <w:tc>
          <w:tcPr>
            <w:tcW w:w="683" w:type="pct"/>
            <w:shd w:val="clear" w:color="auto" w:fill="auto"/>
            <w:noWrap/>
            <w:vAlign w:val="center"/>
          </w:tcPr>
          <w:p w14:paraId="759DC44F">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6AA75785">
            <w:pPr>
              <w:jc w:val="center"/>
              <w:rPr>
                <w:rFonts w:ascii="宋体" w:hAnsi="宋体" w:cs="宋体"/>
                <w:color w:val="000000"/>
                <w:kern w:val="0"/>
                <w:sz w:val="22"/>
                <w:szCs w:val="22"/>
              </w:rPr>
            </w:pPr>
          </w:p>
        </w:tc>
      </w:tr>
      <w:tr w14:paraId="2D0E8FE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7C53C5AE">
            <w:pPr>
              <w:jc w:val="center"/>
              <w:rPr>
                <w:rFonts w:ascii="宋体" w:hAnsi="宋体" w:cs="宋体"/>
                <w:color w:val="000000"/>
                <w:kern w:val="0"/>
                <w:sz w:val="22"/>
                <w:szCs w:val="22"/>
              </w:rPr>
            </w:pPr>
          </w:p>
        </w:tc>
        <w:tc>
          <w:tcPr>
            <w:tcW w:w="490" w:type="pct"/>
            <w:shd w:val="clear" w:color="auto" w:fill="auto"/>
            <w:noWrap/>
            <w:vAlign w:val="center"/>
          </w:tcPr>
          <w:p w14:paraId="30546914">
            <w:pPr>
              <w:jc w:val="center"/>
              <w:rPr>
                <w:rFonts w:ascii="宋体" w:hAnsi="宋体" w:cs="宋体"/>
                <w:color w:val="000000"/>
                <w:kern w:val="0"/>
                <w:sz w:val="22"/>
                <w:szCs w:val="22"/>
              </w:rPr>
            </w:pPr>
          </w:p>
        </w:tc>
        <w:tc>
          <w:tcPr>
            <w:tcW w:w="491" w:type="pct"/>
            <w:shd w:val="clear" w:color="auto" w:fill="auto"/>
            <w:noWrap/>
            <w:vAlign w:val="center"/>
          </w:tcPr>
          <w:p w14:paraId="5332F2AF">
            <w:pPr>
              <w:jc w:val="center"/>
              <w:rPr>
                <w:rFonts w:ascii="宋体" w:hAnsi="宋体" w:cs="宋体"/>
                <w:color w:val="000000"/>
                <w:kern w:val="0"/>
                <w:sz w:val="22"/>
                <w:szCs w:val="22"/>
              </w:rPr>
            </w:pPr>
          </w:p>
        </w:tc>
        <w:tc>
          <w:tcPr>
            <w:tcW w:w="491" w:type="pct"/>
            <w:shd w:val="clear" w:color="auto" w:fill="auto"/>
            <w:noWrap/>
            <w:vAlign w:val="center"/>
          </w:tcPr>
          <w:p w14:paraId="6AD2AC85">
            <w:pPr>
              <w:jc w:val="center"/>
              <w:rPr>
                <w:rFonts w:ascii="宋体" w:hAnsi="宋体" w:cs="宋体"/>
                <w:color w:val="000000"/>
                <w:kern w:val="0"/>
                <w:sz w:val="22"/>
                <w:szCs w:val="22"/>
              </w:rPr>
            </w:pPr>
          </w:p>
        </w:tc>
        <w:tc>
          <w:tcPr>
            <w:tcW w:w="491" w:type="pct"/>
            <w:shd w:val="clear" w:color="auto" w:fill="auto"/>
            <w:noWrap/>
            <w:vAlign w:val="center"/>
          </w:tcPr>
          <w:p w14:paraId="47E05D01">
            <w:pPr>
              <w:jc w:val="center"/>
              <w:rPr>
                <w:rFonts w:ascii="宋体" w:hAnsi="宋体" w:cs="宋体"/>
                <w:color w:val="000000"/>
                <w:kern w:val="0"/>
                <w:sz w:val="22"/>
                <w:szCs w:val="22"/>
              </w:rPr>
            </w:pPr>
          </w:p>
        </w:tc>
        <w:tc>
          <w:tcPr>
            <w:tcW w:w="491" w:type="pct"/>
            <w:shd w:val="clear" w:color="auto" w:fill="auto"/>
            <w:noWrap/>
            <w:vAlign w:val="center"/>
          </w:tcPr>
          <w:p w14:paraId="37FC218D">
            <w:pPr>
              <w:jc w:val="center"/>
              <w:rPr>
                <w:rFonts w:ascii="宋体" w:hAnsi="宋体" w:cs="宋体"/>
                <w:color w:val="000000"/>
                <w:kern w:val="0"/>
                <w:sz w:val="22"/>
                <w:szCs w:val="22"/>
              </w:rPr>
            </w:pPr>
          </w:p>
        </w:tc>
        <w:tc>
          <w:tcPr>
            <w:tcW w:w="587" w:type="pct"/>
            <w:shd w:val="clear" w:color="auto" w:fill="auto"/>
            <w:noWrap/>
            <w:vAlign w:val="center"/>
          </w:tcPr>
          <w:p w14:paraId="11D7C01A">
            <w:pPr>
              <w:jc w:val="center"/>
              <w:rPr>
                <w:rFonts w:ascii="宋体" w:hAnsi="宋体" w:cs="宋体"/>
                <w:color w:val="000000"/>
                <w:kern w:val="0"/>
                <w:sz w:val="22"/>
                <w:szCs w:val="22"/>
              </w:rPr>
            </w:pPr>
          </w:p>
        </w:tc>
        <w:tc>
          <w:tcPr>
            <w:tcW w:w="683" w:type="pct"/>
            <w:shd w:val="clear" w:color="auto" w:fill="auto"/>
            <w:noWrap/>
            <w:vAlign w:val="center"/>
          </w:tcPr>
          <w:p w14:paraId="34BC69C4">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0DC1DB7">
            <w:pPr>
              <w:jc w:val="center"/>
              <w:rPr>
                <w:rFonts w:ascii="宋体" w:hAnsi="宋体" w:cs="宋体"/>
                <w:color w:val="000000"/>
                <w:kern w:val="0"/>
                <w:sz w:val="22"/>
                <w:szCs w:val="22"/>
              </w:rPr>
            </w:pPr>
          </w:p>
        </w:tc>
      </w:tr>
      <w:tr w14:paraId="1F996D2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 w:type="pct"/>
            <w:tcBorders>
              <w:left w:val="single" w:color="auto" w:sz="4" w:space="0"/>
            </w:tcBorders>
            <w:shd w:val="clear" w:color="auto" w:fill="auto"/>
            <w:noWrap/>
            <w:vAlign w:val="center"/>
          </w:tcPr>
          <w:p w14:paraId="024C0A47">
            <w:pPr>
              <w:jc w:val="center"/>
              <w:rPr>
                <w:rFonts w:ascii="宋体" w:hAnsi="宋体" w:cs="宋体"/>
                <w:color w:val="000000"/>
                <w:kern w:val="0"/>
                <w:sz w:val="22"/>
                <w:szCs w:val="22"/>
              </w:rPr>
            </w:pPr>
          </w:p>
        </w:tc>
        <w:tc>
          <w:tcPr>
            <w:tcW w:w="490" w:type="pct"/>
            <w:shd w:val="clear" w:color="auto" w:fill="auto"/>
            <w:noWrap/>
            <w:vAlign w:val="center"/>
          </w:tcPr>
          <w:p w14:paraId="252D77CD">
            <w:pPr>
              <w:jc w:val="center"/>
              <w:rPr>
                <w:rFonts w:ascii="宋体" w:hAnsi="宋体" w:cs="宋体"/>
                <w:color w:val="000000"/>
                <w:kern w:val="0"/>
                <w:sz w:val="22"/>
                <w:szCs w:val="22"/>
              </w:rPr>
            </w:pPr>
          </w:p>
        </w:tc>
        <w:tc>
          <w:tcPr>
            <w:tcW w:w="491" w:type="pct"/>
            <w:shd w:val="clear" w:color="auto" w:fill="auto"/>
            <w:noWrap/>
            <w:vAlign w:val="center"/>
          </w:tcPr>
          <w:p w14:paraId="6BE83C9D">
            <w:pPr>
              <w:jc w:val="center"/>
              <w:rPr>
                <w:rFonts w:ascii="宋体" w:hAnsi="宋体" w:cs="宋体"/>
                <w:color w:val="000000"/>
                <w:kern w:val="0"/>
                <w:sz w:val="22"/>
                <w:szCs w:val="22"/>
              </w:rPr>
            </w:pPr>
          </w:p>
        </w:tc>
        <w:tc>
          <w:tcPr>
            <w:tcW w:w="491" w:type="pct"/>
            <w:shd w:val="clear" w:color="auto" w:fill="auto"/>
            <w:noWrap/>
            <w:vAlign w:val="center"/>
          </w:tcPr>
          <w:p w14:paraId="0E0A0DC4">
            <w:pPr>
              <w:jc w:val="center"/>
              <w:rPr>
                <w:rFonts w:ascii="宋体" w:hAnsi="宋体" w:cs="宋体"/>
                <w:color w:val="000000"/>
                <w:kern w:val="0"/>
                <w:sz w:val="22"/>
                <w:szCs w:val="22"/>
              </w:rPr>
            </w:pPr>
          </w:p>
        </w:tc>
        <w:tc>
          <w:tcPr>
            <w:tcW w:w="491" w:type="pct"/>
            <w:shd w:val="clear" w:color="auto" w:fill="auto"/>
            <w:noWrap/>
            <w:vAlign w:val="center"/>
          </w:tcPr>
          <w:p w14:paraId="42D1BF18">
            <w:pPr>
              <w:jc w:val="center"/>
              <w:rPr>
                <w:rFonts w:ascii="宋体" w:hAnsi="宋体" w:cs="宋体"/>
                <w:color w:val="000000"/>
                <w:kern w:val="0"/>
                <w:sz w:val="22"/>
                <w:szCs w:val="22"/>
              </w:rPr>
            </w:pPr>
          </w:p>
        </w:tc>
        <w:tc>
          <w:tcPr>
            <w:tcW w:w="491" w:type="pct"/>
            <w:shd w:val="clear" w:color="auto" w:fill="auto"/>
            <w:noWrap/>
            <w:vAlign w:val="center"/>
          </w:tcPr>
          <w:p w14:paraId="1B9926ED">
            <w:pPr>
              <w:jc w:val="center"/>
              <w:rPr>
                <w:rFonts w:ascii="宋体" w:hAnsi="宋体" w:cs="宋体"/>
                <w:color w:val="000000"/>
                <w:kern w:val="0"/>
                <w:sz w:val="22"/>
                <w:szCs w:val="22"/>
              </w:rPr>
            </w:pPr>
          </w:p>
        </w:tc>
        <w:tc>
          <w:tcPr>
            <w:tcW w:w="587" w:type="pct"/>
            <w:shd w:val="clear" w:color="auto" w:fill="auto"/>
            <w:noWrap/>
            <w:vAlign w:val="center"/>
          </w:tcPr>
          <w:p w14:paraId="22DEE75F">
            <w:pPr>
              <w:jc w:val="center"/>
              <w:rPr>
                <w:rFonts w:ascii="宋体" w:hAnsi="宋体" w:cs="宋体"/>
                <w:color w:val="000000"/>
                <w:kern w:val="0"/>
                <w:sz w:val="22"/>
                <w:szCs w:val="22"/>
              </w:rPr>
            </w:pPr>
          </w:p>
        </w:tc>
        <w:tc>
          <w:tcPr>
            <w:tcW w:w="683" w:type="pct"/>
            <w:shd w:val="clear" w:color="auto" w:fill="auto"/>
            <w:noWrap/>
            <w:vAlign w:val="center"/>
          </w:tcPr>
          <w:p w14:paraId="7F965CBD">
            <w:pPr>
              <w:jc w:val="center"/>
              <w:rPr>
                <w:rFonts w:ascii="宋体" w:hAnsi="宋体" w:cs="宋体"/>
                <w:color w:val="000000"/>
                <w:kern w:val="0"/>
                <w:sz w:val="22"/>
                <w:szCs w:val="22"/>
              </w:rPr>
            </w:pPr>
          </w:p>
        </w:tc>
        <w:tc>
          <w:tcPr>
            <w:tcW w:w="972" w:type="pct"/>
            <w:tcBorders>
              <w:right w:val="single" w:color="auto" w:sz="4" w:space="0"/>
            </w:tcBorders>
            <w:shd w:val="clear" w:color="auto" w:fill="auto"/>
            <w:noWrap/>
            <w:vAlign w:val="center"/>
          </w:tcPr>
          <w:p w14:paraId="480221B9">
            <w:pPr>
              <w:jc w:val="center"/>
              <w:rPr>
                <w:rFonts w:ascii="宋体" w:hAnsi="宋体" w:cs="宋体"/>
                <w:color w:val="000000"/>
                <w:kern w:val="0"/>
                <w:sz w:val="22"/>
                <w:szCs w:val="22"/>
              </w:rPr>
            </w:pPr>
          </w:p>
        </w:tc>
      </w:tr>
    </w:tbl>
    <w:p w14:paraId="42C25569">
      <w:pPr>
        <w:jc w:val="left"/>
        <w:rPr>
          <w:rFonts w:hint="eastAsia" w:ascii="宋体" w:hAnsi="宋体"/>
          <w:color w:val="auto"/>
          <w:sz w:val="24"/>
          <w:shd w:val="clear" w:color="auto" w:fill="FFFFFF"/>
          <w:lang w:eastAsia="zh-CN"/>
        </w:rPr>
        <w:sectPr>
          <w:pgSz w:w="11906" w:h="16838"/>
          <w:pgMar w:top="1134" w:right="1418" w:bottom="1134" w:left="1418" w:header="851" w:footer="992" w:gutter="0"/>
          <w:cols w:space="0" w:num="1"/>
          <w:docGrid w:type="lines" w:linePitch="312" w:charSpace="0"/>
        </w:sectPr>
      </w:pPr>
    </w:p>
    <w:p w14:paraId="1CBCA871">
      <w:pPr>
        <w:jc w:val="both"/>
        <w:rPr>
          <w:rFonts w:hint="eastAsia" w:ascii="宋体" w:hAnsi="宋体" w:cs="宋体"/>
          <w:b/>
          <w:color w:val="000000"/>
          <w:kern w:val="0"/>
          <w:sz w:val="32"/>
          <w:szCs w:val="32"/>
        </w:rPr>
      </w:pPr>
    </w:p>
    <w:p w14:paraId="5D6E5553">
      <w:pPr>
        <w:tabs>
          <w:tab w:val="decimal" w:pos="315"/>
          <w:tab w:val="left" w:pos="630"/>
        </w:tabs>
        <w:spacing w:line="360" w:lineRule="auto"/>
        <w:jc w:val="center"/>
        <w:rPr>
          <w:rFonts w:hint="eastAsia" w:eastAsia="宋体"/>
          <w:highlight w:val="none"/>
          <w:lang w:eastAsia="zh-CN"/>
        </w:rPr>
      </w:pPr>
      <w:r>
        <w:rPr>
          <w:rFonts w:hint="eastAsia" w:ascii="Times New Roman" w:hAnsi="Times New Roman"/>
          <w:bCs w:val="0"/>
          <w:sz w:val="44"/>
          <w:szCs w:val="44"/>
          <w:highlight w:val="none"/>
          <w:lang w:eastAsia="zh-CN"/>
        </w:rPr>
        <w:t>七、响应文件格式</w:t>
      </w:r>
    </w:p>
    <w:p w14:paraId="0D4143D6">
      <w:pPr>
        <w:pStyle w:val="35"/>
        <w:numPr>
          <w:ilvl w:val="0"/>
          <w:numId w:val="3"/>
        </w:numPr>
        <w:ind w:left="630" w:leftChars="0" w:firstLineChars="0"/>
        <w:outlineLvl w:val="1"/>
        <w:rPr>
          <w:rFonts w:hint="eastAsia"/>
          <w:b/>
          <w:bCs/>
          <w:highlight w:val="none"/>
        </w:rPr>
      </w:pPr>
      <w:bookmarkStart w:id="0" w:name="_Toc131270561"/>
      <w:r>
        <w:rPr>
          <w:rFonts w:hint="eastAsia"/>
          <w:b/>
          <w:bCs/>
          <w:highlight w:val="none"/>
        </w:rPr>
        <w:t>法定代表人证明书</w:t>
      </w:r>
      <w:bookmarkEnd w:id="0"/>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eastAsia="宋体"/>
          <w:sz w:val="24"/>
          <w:highlight w:val="none"/>
          <w:u w:val="single"/>
          <w:lang w:eastAsia="zh-CN"/>
        </w:rPr>
      </w:pPr>
      <w:r>
        <w:rPr>
          <w:sz w:val="24"/>
          <w:highlight w:val="none"/>
        </w:rPr>
        <w:t>有效期限：</w:t>
      </w:r>
      <w:r>
        <w:rPr>
          <w:rFonts w:hint="eastAsia"/>
          <w:sz w:val="24"/>
          <w:highlight w:val="none"/>
          <w:u w:val="single"/>
        </w:rPr>
        <w:t>与响应有效期一致。</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ab/>
      </w:r>
      <w:r>
        <w:rPr>
          <w:sz w:val="24"/>
          <w:highlight w:val="none"/>
        </w:rPr>
        <w:t>年龄：身份证号码：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eastAsia="宋体"/>
          <w:sz w:val="24"/>
          <w:highlight w:val="none"/>
          <w:u w:val="single"/>
          <w:lang w:eastAsia="zh-CN"/>
        </w:rPr>
      </w:pPr>
      <w:r>
        <w:rPr>
          <w:sz w:val="24"/>
          <w:highlight w:val="none"/>
        </w:rPr>
        <w:t>注册号码：</w:t>
      </w:r>
      <w:r>
        <w:rPr>
          <w:sz w:val="24"/>
          <w:highlight w:val="none"/>
          <w:u w:val="single"/>
        </w:rPr>
        <w:tab/>
      </w:r>
      <w:r>
        <w:rPr>
          <w:sz w:val="24"/>
          <w:highlight w:val="none"/>
          <w:u w:val="single"/>
        </w:rPr>
        <w:tab/>
      </w:r>
      <w:r>
        <w:rPr>
          <w:sz w:val="24"/>
          <w:highlight w:val="none"/>
        </w:rPr>
        <w:t>企业类型：</w:t>
      </w:r>
      <w:r>
        <w:rPr>
          <w:sz w:val="24"/>
          <w:highlight w:val="none"/>
          <w:u w:val="single"/>
        </w:rPr>
        <w:tab/>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w:t>
      </w:r>
    </w:p>
    <w:p w14:paraId="6ABCC4E1">
      <w:pPr>
        <w:pStyle w:val="9"/>
        <w:spacing w:line="480" w:lineRule="auto"/>
        <w:jc w:val="right"/>
        <w:rPr>
          <w:rFonts w:hint="eastAsia"/>
          <w:sz w:val="24"/>
          <w:highlight w:val="none"/>
        </w:rPr>
      </w:pPr>
      <w:r>
        <w:rPr>
          <w:sz w:val="24"/>
          <w:highlight w:val="none"/>
        </w:rPr>
        <w:t>日期：年月日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413B5310">
      <w:pPr>
        <w:rPr>
          <w:rFonts w:hint="eastAsia"/>
          <w:szCs w:val="21"/>
          <w:highlight w:val="none"/>
        </w:rPr>
      </w:pPr>
      <w:r>
        <w:rPr>
          <w:rFonts w:hint="eastAsia"/>
          <w:b/>
          <w:szCs w:val="21"/>
          <w:highlight w:val="none"/>
        </w:rPr>
        <w:t>说明：供应商应须提供法定代表人身份证复印件，否则作无效响应处理。</w:t>
      </w:r>
    </w:p>
    <w:p w14:paraId="2029ABC7">
      <w:pPr>
        <w:pStyle w:val="35"/>
        <w:numPr>
          <w:ilvl w:val="0"/>
          <w:numId w:val="3"/>
        </w:numPr>
        <w:ind w:left="630" w:leftChars="0" w:firstLineChars="0"/>
        <w:outlineLvl w:val="1"/>
        <w:rPr>
          <w:rFonts w:hint="eastAsia"/>
          <w:b/>
          <w:bCs/>
          <w:highlight w:val="none"/>
        </w:rPr>
      </w:pPr>
      <w:bookmarkStart w:id="1" w:name="_Toc131270562"/>
      <w:r>
        <w:rPr>
          <w:rFonts w:hint="eastAsia"/>
          <w:b/>
          <w:bCs/>
          <w:highlight w:val="none"/>
        </w:rPr>
        <w:t>法定代表人授权书</w:t>
      </w:r>
      <w:bookmarkEnd w:id="1"/>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ab/>
      </w:r>
      <w:r>
        <w:rPr>
          <w:sz w:val="24"/>
          <w:highlight w:val="none"/>
        </w:rPr>
        <w:t>是注册于</w:t>
      </w:r>
      <w:r>
        <w:rPr>
          <w:sz w:val="24"/>
          <w:highlight w:val="none"/>
          <w:u w:val="single"/>
        </w:rPr>
        <w:t>（国家或地区）</w:t>
      </w:r>
      <w:r>
        <w:rPr>
          <w:sz w:val="24"/>
          <w:highlight w:val="none"/>
        </w:rPr>
        <w:t>的</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ab/>
      </w:r>
      <w:r>
        <w:rPr>
          <w:w w:val="110"/>
          <w:sz w:val="24"/>
          <w:highlight w:val="none"/>
        </w:rPr>
        <w:t>职务，有效证件号码：</w:t>
      </w:r>
      <w:r>
        <w:rPr>
          <w:sz w:val="24"/>
          <w:highlight w:val="none"/>
        </w:rPr>
        <w:t>。现授权</w:t>
      </w:r>
      <w:r>
        <w:rPr>
          <w:sz w:val="24"/>
          <w:highlight w:val="none"/>
          <w:u w:val="single"/>
        </w:rPr>
        <w:t>（姓名、职务）</w:t>
      </w:r>
      <w:r>
        <w:rPr>
          <w:sz w:val="24"/>
          <w:highlight w:val="none"/>
        </w:rPr>
        <w:t>作为我公司的全权代理人，就</w:t>
      </w:r>
      <w:r>
        <w:rPr>
          <w:rFonts w:hint="eastAsia"/>
          <w:sz w:val="24"/>
          <w:highlight w:val="none"/>
          <w:u w:val="single"/>
        </w:rPr>
        <w:t>（项目名称）</w:t>
      </w:r>
      <w:r>
        <w:rPr>
          <w:rFonts w:hint="eastAsia"/>
          <w:sz w:val="24"/>
          <w:highlight w:val="none"/>
        </w:rPr>
        <w:t>采购[项目编号为</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ab/>
      </w:r>
      <w:r>
        <w:rPr>
          <w:sz w:val="24"/>
          <w:highlight w:val="none"/>
        </w:rPr>
        <w:t>年月日签字生效，特此声明。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rPr>
        <w:t>年月日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3"/>
        </w:numPr>
        <w:ind w:left="630" w:leftChars="0" w:firstLineChars="0"/>
        <w:outlineLvl w:val="1"/>
        <w:rPr>
          <w:rFonts w:hint="eastAsia"/>
          <w:b/>
          <w:bCs/>
          <w:highlight w:val="none"/>
        </w:rPr>
      </w:pPr>
      <w:bookmarkStart w:id="2" w:name="_Toc131270559"/>
      <w:r>
        <w:rPr>
          <w:rFonts w:hint="eastAsia"/>
          <w:b/>
          <w:bCs/>
          <w:highlight w:val="none"/>
        </w:rPr>
        <w:t>报价表</w:t>
      </w:r>
      <w:bookmarkEnd w:id="2"/>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0"/>
        <w:gridCol w:w="1324"/>
        <w:gridCol w:w="4726"/>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7"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w:t>
            </w:r>
            <w:r>
              <w:rPr>
                <w:rFonts w:hint="eastAsia" w:ascii="宋体" w:hAnsi="宋体" w:cs="宋体"/>
                <w:b w:val="0"/>
                <w:bCs w:val="0"/>
                <w:color w:val="auto"/>
                <w:highlight w:val="none"/>
                <w:lang w:val="en-US" w:eastAsia="zh-CN"/>
              </w:rPr>
              <w:t>-LX</w:t>
            </w:r>
            <w:r>
              <w:rPr>
                <w:rFonts w:hint="eastAsia" w:ascii="宋体" w:hAnsi="宋体" w:eastAsia="宋体" w:cs="宋体"/>
                <w:b w:val="0"/>
                <w:bCs w:val="0"/>
                <w:color w:val="auto"/>
                <w:highlight w:val="none"/>
                <w:lang w:eastAsia="zh-CN"/>
              </w:rPr>
              <w:t>00</w:t>
            </w:r>
            <w:r>
              <w:rPr>
                <w:rFonts w:hint="eastAsia" w:ascii="宋体" w:hAnsi="宋体" w:cs="宋体"/>
                <w:b w:val="0"/>
                <w:bCs w:val="0"/>
                <w:color w:val="auto"/>
                <w:highlight w:val="none"/>
                <w:lang w:val="en-US" w:eastAsia="zh-CN"/>
              </w:rPr>
              <w:t>3</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9"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cs="宋体"/>
                <w:b w:val="0"/>
                <w:bCs w:val="0"/>
                <w:color w:val="auto"/>
                <w:highlight w:val="none"/>
                <w:lang w:eastAsia="zh-CN"/>
              </w:rPr>
              <w:t>中山市中医院全自动化学发光分析仪项目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（大写金额）人民币元整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（小写金额）（￥元）</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1921CF56">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tbl>
      <w:tblPr>
        <w:tblStyle w:val="20"/>
        <w:tblpPr w:leftFromText="180" w:rightFromText="180" w:vertAnchor="text" w:horzAnchor="page" w:tblpX="1480" w:tblpY="398"/>
        <w:tblOverlap w:val="never"/>
        <w:tblW w:w="9188" w:type="dxa"/>
        <w:tblInd w:w="0" w:type="dxa"/>
        <w:tblLayout w:type="fixed"/>
        <w:tblCellMar>
          <w:top w:w="15" w:type="dxa"/>
          <w:left w:w="15" w:type="dxa"/>
          <w:bottom w:w="15" w:type="dxa"/>
          <w:right w:w="15" w:type="dxa"/>
        </w:tblCellMar>
      </w:tblPr>
      <w:tblGrid>
        <w:gridCol w:w="392"/>
        <w:gridCol w:w="1297"/>
        <w:gridCol w:w="1023"/>
        <w:gridCol w:w="679"/>
        <w:gridCol w:w="1093"/>
        <w:gridCol w:w="1023"/>
        <w:gridCol w:w="1173"/>
        <w:gridCol w:w="709"/>
        <w:gridCol w:w="945"/>
        <w:gridCol w:w="854"/>
      </w:tblGrid>
      <w:tr w14:paraId="371B3961">
        <w:trPr>
          <w:trHeight w:val="316"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69370F20">
            <w:pPr>
              <w:jc w:val="both"/>
              <w:textAlignment w:val="center"/>
              <w:rPr>
                <w:rFonts w:hint="eastAsia" w:asciiTheme="minorEastAsia" w:hAnsiTheme="minorEastAsia" w:eastAsiaTheme="minorEastAsia" w:cstheme="minorEastAsia"/>
                <w:b/>
                <w:color w:val="auto"/>
                <w:kern w:val="2"/>
                <w:highlight w:val="none"/>
                <w:lang w:bidi="ar"/>
              </w:rPr>
            </w:pPr>
            <w:r>
              <w:rPr>
                <w:rFonts w:hint="eastAsia" w:asciiTheme="minorEastAsia" w:hAnsiTheme="minorEastAsia" w:eastAsiaTheme="minorEastAsia" w:cstheme="minorEastAsia"/>
                <w:b/>
                <w:color w:val="auto"/>
                <w:kern w:val="2"/>
                <w:highlight w:val="none"/>
                <w:lang w:bidi="ar"/>
              </w:rPr>
              <w:t>一、</w:t>
            </w:r>
            <w:r>
              <w:rPr>
                <w:rFonts w:hint="eastAsia" w:asciiTheme="minorEastAsia" w:hAnsiTheme="minorEastAsia" w:eastAsiaTheme="minorEastAsia" w:cstheme="minorEastAsia"/>
                <w:b/>
                <w:color w:val="auto"/>
                <w:kern w:val="2"/>
                <w:highlight w:val="none"/>
                <w:lang w:val="en-US" w:eastAsia="zh-CN" w:bidi="ar"/>
              </w:rPr>
              <w:t>设备租赁</w:t>
            </w:r>
            <w:r>
              <w:rPr>
                <w:rFonts w:hint="eastAsia" w:asciiTheme="minorEastAsia" w:hAnsiTheme="minorEastAsia" w:eastAsiaTheme="minorEastAsia" w:cstheme="minorEastAsia"/>
                <w:b/>
                <w:color w:val="auto"/>
                <w:kern w:val="2"/>
                <w:highlight w:val="none"/>
                <w:lang w:bidi="ar"/>
              </w:rPr>
              <w:t>明细</w:t>
            </w:r>
            <w:r>
              <w:rPr>
                <w:rFonts w:hint="eastAsia" w:asciiTheme="minorEastAsia" w:hAnsiTheme="minorEastAsia" w:eastAsiaTheme="minorEastAsia" w:cstheme="minorEastAsia"/>
                <w:b/>
                <w:color w:val="auto"/>
                <w:kern w:val="2"/>
                <w:highlight w:val="none"/>
                <w:lang w:val="en-US" w:eastAsia="zh-CN" w:bidi="ar"/>
              </w:rPr>
              <w:t>表</w:t>
            </w:r>
          </w:p>
        </w:tc>
      </w:tr>
      <w:tr w14:paraId="301C1B78">
        <w:tblPrEx>
          <w:tblCellMar>
            <w:top w:w="15" w:type="dxa"/>
            <w:left w:w="15" w:type="dxa"/>
            <w:bottom w:w="15" w:type="dxa"/>
            <w:right w:w="15" w:type="dxa"/>
          </w:tblCellMar>
        </w:tblPrEx>
        <w:trPr>
          <w:trHeight w:val="1140"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30E3722">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478FBD8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1023" w:type="dxa"/>
            <w:tcBorders>
              <w:top w:val="single" w:color="000000" w:sz="4" w:space="0"/>
              <w:left w:val="single" w:color="000000" w:sz="4" w:space="0"/>
              <w:bottom w:val="single" w:color="000000" w:sz="4" w:space="0"/>
              <w:right w:val="single" w:color="000000" w:sz="4" w:space="0"/>
            </w:tcBorders>
            <w:vAlign w:val="center"/>
          </w:tcPr>
          <w:p w14:paraId="5D848C7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679" w:type="dxa"/>
            <w:tcBorders>
              <w:top w:val="single" w:color="000000" w:sz="4" w:space="0"/>
              <w:left w:val="single" w:color="000000" w:sz="4" w:space="0"/>
              <w:bottom w:val="single" w:color="000000" w:sz="4" w:space="0"/>
              <w:right w:val="single" w:color="000000" w:sz="4" w:space="0"/>
            </w:tcBorders>
            <w:vAlign w:val="center"/>
          </w:tcPr>
          <w:p w14:paraId="15CB237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1093" w:type="dxa"/>
            <w:tcBorders>
              <w:top w:val="single" w:color="000000" w:sz="4" w:space="0"/>
              <w:left w:val="single" w:color="000000" w:sz="4" w:space="0"/>
              <w:bottom w:val="single" w:color="000000" w:sz="4" w:space="0"/>
              <w:right w:val="single" w:color="000000" w:sz="4" w:space="0"/>
            </w:tcBorders>
            <w:vAlign w:val="center"/>
          </w:tcPr>
          <w:p w14:paraId="35A0E3A6">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bidi="ar"/>
              </w:rPr>
              <w:t>单价</w:t>
            </w:r>
            <w:r>
              <w:rPr>
                <w:rFonts w:hint="eastAsia" w:asciiTheme="minorEastAsia" w:hAnsiTheme="minorEastAsia" w:eastAsiaTheme="minorEastAsia" w:cstheme="minorEastAsia"/>
                <w:color w:val="auto"/>
                <w:kern w:val="2"/>
                <w:highlight w:val="none"/>
                <w:lang w:eastAsia="zh-CN" w:bidi="ar"/>
              </w:rPr>
              <w:t>（</w:t>
            </w:r>
            <w:r>
              <w:rPr>
                <w:rFonts w:hint="eastAsia" w:asciiTheme="minorEastAsia" w:hAnsiTheme="minorEastAsia" w:eastAsiaTheme="minorEastAsia" w:cstheme="minorEastAsia"/>
                <w:color w:val="auto"/>
                <w:kern w:val="2"/>
                <w:highlight w:val="none"/>
                <w:lang w:val="en-US" w:eastAsia="zh-CN" w:bidi="ar"/>
              </w:rPr>
              <w:t>元/年</w:t>
            </w:r>
            <w:r>
              <w:rPr>
                <w:rFonts w:hint="eastAsia" w:asciiTheme="minorEastAsia" w:hAnsiTheme="minorEastAsia" w:eastAsiaTheme="minorEastAsia" w:cstheme="minorEastAsia"/>
                <w:color w:val="auto"/>
                <w:kern w:val="2"/>
                <w:highlight w:val="none"/>
                <w:lang w:eastAsia="zh-CN" w:bidi="ar"/>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2D4C215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r>
              <w:rPr>
                <w:rFonts w:hint="eastAsia" w:asciiTheme="minorEastAsia" w:hAnsiTheme="minorEastAsia" w:eastAsiaTheme="minorEastAsia" w:cstheme="minorEastAsia"/>
                <w:color w:val="auto"/>
                <w:kern w:val="2"/>
                <w:highlight w:val="none"/>
                <w:lang w:val="en-US" w:eastAsia="zh-CN" w:bidi="ar"/>
              </w:rPr>
              <w:t>/5年</w:t>
            </w:r>
            <w:r>
              <w:rPr>
                <w:rFonts w:hint="eastAsia" w:asciiTheme="minorEastAsia" w:hAnsiTheme="minorEastAsia" w:eastAsiaTheme="minorEastAsia" w:cstheme="minorEastAsia"/>
                <w:color w:val="auto"/>
                <w:kern w:val="2"/>
                <w:highlight w:val="none"/>
                <w:lang w:bidi="ar"/>
              </w:rPr>
              <w:t>）</w:t>
            </w: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18070AE9">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53231F3B">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3A95D8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3FD56396">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全自动化学发光免疫分析仪</w:t>
            </w:r>
          </w:p>
        </w:tc>
        <w:tc>
          <w:tcPr>
            <w:tcW w:w="1023" w:type="dxa"/>
            <w:tcBorders>
              <w:top w:val="single" w:color="000000" w:sz="4" w:space="0"/>
              <w:left w:val="single" w:color="000000" w:sz="4" w:space="0"/>
              <w:bottom w:val="single" w:color="000000" w:sz="4" w:space="0"/>
              <w:right w:val="single" w:color="000000" w:sz="4" w:space="0"/>
            </w:tcBorders>
            <w:vAlign w:val="center"/>
          </w:tcPr>
          <w:p w14:paraId="275E40ED">
            <w:pPr>
              <w:jc w:val="center"/>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台</w:t>
            </w:r>
          </w:p>
        </w:tc>
        <w:tc>
          <w:tcPr>
            <w:tcW w:w="679" w:type="dxa"/>
            <w:tcBorders>
              <w:top w:val="single" w:color="000000" w:sz="4" w:space="0"/>
              <w:left w:val="single" w:color="000000" w:sz="4" w:space="0"/>
              <w:bottom w:val="single" w:color="000000" w:sz="4" w:space="0"/>
              <w:right w:val="single" w:color="000000" w:sz="4" w:space="0"/>
            </w:tcBorders>
            <w:vAlign w:val="center"/>
          </w:tcPr>
          <w:p w14:paraId="59C08A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1</w:t>
            </w:r>
          </w:p>
        </w:tc>
        <w:tc>
          <w:tcPr>
            <w:tcW w:w="1093" w:type="dxa"/>
            <w:tcBorders>
              <w:top w:val="single" w:color="000000" w:sz="4" w:space="0"/>
              <w:left w:val="single" w:color="000000" w:sz="4" w:space="0"/>
              <w:bottom w:val="single" w:color="000000" w:sz="4" w:space="0"/>
              <w:right w:val="single" w:color="000000" w:sz="4" w:space="0"/>
            </w:tcBorders>
            <w:vAlign w:val="center"/>
          </w:tcPr>
          <w:p w14:paraId="76DF396B">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70B485C0">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29491357">
            <w:pPr>
              <w:jc w:val="both"/>
              <w:rPr>
                <w:rFonts w:hint="eastAsia" w:asciiTheme="minorEastAsia" w:hAnsiTheme="minorEastAsia" w:eastAsiaTheme="minorEastAsia" w:cstheme="minorEastAsia"/>
                <w:color w:val="auto"/>
                <w:kern w:val="2"/>
                <w:highlight w:val="none"/>
              </w:rPr>
            </w:pPr>
          </w:p>
        </w:tc>
      </w:tr>
      <w:tr w14:paraId="43E9086C">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378079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08A60FC7">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E1AB8AA">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95C52E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33F5BC">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44376926">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2068565E">
            <w:pPr>
              <w:jc w:val="both"/>
              <w:rPr>
                <w:rFonts w:hint="eastAsia" w:asciiTheme="minorEastAsia" w:hAnsiTheme="minorEastAsia" w:eastAsiaTheme="minorEastAsia" w:cstheme="minorEastAsia"/>
                <w:color w:val="auto"/>
                <w:kern w:val="2"/>
                <w:highlight w:val="none"/>
              </w:rPr>
            </w:pPr>
          </w:p>
        </w:tc>
      </w:tr>
      <w:tr w14:paraId="37B63804">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2EE77582">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0D3277C4">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0E802D5">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8E429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456900F1">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53C80F2">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10FBA492">
            <w:pPr>
              <w:jc w:val="both"/>
              <w:rPr>
                <w:rFonts w:hint="eastAsia" w:asciiTheme="minorEastAsia" w:hAnsiTheme="minorEastAsia" w:eastAsiaTheme="minorEastAsia" w:cstheme="minorEastAsia"/>
                <w:color w:val="auto"/>
                <w:kern w:val="2"/>
                <w:highlight w:val="none"/>
              </w:rPr>
            </w:pPr>
          </w:p>
        </w:tc>
      </w:tr>
      <w:tr w14:paraId="64744852">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A69D500">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19DBC49F">
            <w:pPr>
              <w:jc w:val="center"/>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62BACD26">
            <w:pPr>
              <w:jc w:val="center"/>
              <w:rPr>
                <w:rFonts w:hint="eastAsia" w:asciiTheme="minorEastAsia" w:hAnsiTheme="minorEastAsia" w:eastAsiaTheme="minorEastAsia" w:cstheme="minorEastAsia"/>
                <w:color w:val="auto"/>
                <w:kern w:val="2"/>
                <w:highlight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F21073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FD65513">
            <w:pPr>
              <w:jc w:val="both"/>
              <w:rPr>
                <w:rFonts w:hint="eastAsia" w:asciiTheme="minorEastAsia" w:hAnsiTheme="minorEastAsia" w:eastAsiaTheme="minorEastAsia" w:cstheme="minorEastAsia"/>
                <w:color w:val="auto"/>
                <w:kern w:val="2"/>
                <w:highlight w:val="none"/>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05430AF">
            <w:pPr>
              <w:jc w:val="both"/>
              <w:rPr>
                <w:rFonts w:hint="eastAsia" w:asciiTheme="minorEastAsia" w:hAnsiTheme="minorEastAsia" w:eastAsiaTheme="minorEastAsia" w:cstheme="minorEastAsia"/>
                <w:color w:val="auto"/>
                <w:kern w:val="2"/>
                <w:highlight w:val="none"/>
              </w:rPr>
            </w:pPr>
          </w:p>
        </w:tc>
        <w:tc>
          <w:tcPr>
            <w:tcW w:w="3681" w:type="dxa"/>
            <w:gridSpan w:val="4"/>
            <w:tcBorders>
              <w:top w:val="single" w:color="000000" w:sz="4" w:space="0"/>
              <w:left w:val="single" w:color="000000" w:sz="4" w:space="0"/>
              <w:bottom w:val="single" w:color="000000" w:sz="4" w:space="0"/>
              <w:right w:val="single" w:color="000000" w:sz="4" w:space="0"/>
            </w:tcBorders>
            <w:vAlign w:val="center"/>
          </w:tcPr>
          <w:p w14:paraId="3CD1EDC3">
            <w:pPr>
              <w:jc w:val="both"/>
              <w:rPr>
                <w:rFonts w:hint="eastAsia" w:asciiTheme="minorEastAsia" w:hAnsiTheme="minorEastAsia" w:eastAsiaTheme="minorEastAsia" w:cstheme="minorEastAsia"/>
                <w:color w:val="auto"/>
                <w:kern w:val="2"/>
                <w:highlight w:val="none"/>
              </w:rPr>
            </w:pPr>
          </w:p>
        </w:tc>
      </w:tr>
      <w:tr w14:paraId="60A30C5F">
        <w:tblPrEx>
          <w:tblCellMar>
            <w:top w:w="15" w:type="dxa"/>
            <w:left w:w="15" w:type="dxa"/>
            <w:bottom w:w="15" w:type="dxa"/>
            <w:right w:w="15" w:type="dxa"/>
          </w:tblCellMar>
        </w:tblPrEx>
        <w:trPr>
          <w:trHeight w:val="570"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0FF5086E">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设备</w:t>
            </w:r>
            <w:r>
              <w:rPr>
                <w:rFonts w:hint="eastAsia" w:asciiTheme="minorEastAsia" w:hAnsiTheme="minorEastAsia" w:eastAsiaTheme="minorEastAsia" w:cstheme="minorEastAsia"/>
                <w:color w:val="auto"/>
                <w:kern w:val="2"/>
                <w:highlight w:val="none"/>
                <w:lang w:bidi="ar"/>
              </w:rPr>
              <w:t>报价合计：元</w:t>
            </w:r>
          </w:p>
        </w:tc>
      </w:tr>
      <w:tr w14:paraId="433403DC">
        <w:tblPrEx>
          <w:tblCellMar>
            <w:top w:w="15" w:type="dxa"/>
            <w:left w:w="15" w:type="dxa"/>
            <w:bottom w:w="15" w:type="dxa"/>
            <w:right w:w="15" w:type="dxa"/>
          </w:tblCellMar>
        </w:tblPrEx>
        <w:trPr>
          <w:trHeight w:val="316" w:hRule="atLeast"/>
        </w:trPr>
        <w:tc>
          <w:tcPr>
            <w:tcW w:w="8334" w:type="dxa"/>
            <w:gridSpan w:val="9"/>
            <w:tcBorders>
              <w:top w:val="single" w:color="000000" w:sz="4" w:space="0"/>
              <w:left w:val="single" w:color="000000" w:sz="4" w:space="0"/>
              <w:bottom w:val="single" w:color="000000" w:sz="4" w:space="0"/>
              <w:right w:val="single" w:color="000000" w:sz="4" w:space="0"/>
            </w:tcBorders>
            <w:vAlign w:val="center"/>
          </w:tcPr>
          <w:p w14:paraId="617A4CCD">
            <w:pPr>
              <w:jc w:val="both"/>
              <w:textAlignment w:val="center"/>
              <w:rPr>
                <w:rFonts w:hint="eastAsia" w:asciiTheme="minorEastAsia" w:hAnsiTheme="minorEastAsia" w:eastAsiaTheme="minorEastAsia" w:cstheme="minorEastAsia"/>
                <w:b/>
                <w:color w:val="auto"/>
                <w:kern w:val="2"/>
                <w:highlight w:val="none"/>
                <w:lang w:bidi="ar"/>
              </w:rPr>
            </w:pPr>
            <w:r>
              <w:rPr>
                <w:rFonts w:hint="eastAsia" w:asciiTheme="minorEastAsia" w:hAnsiTheme="minorEastAsia" w:eastAsiaTheme="minorEastAsia" w:cstheme="minorEastAsia"/>
                <w:b/>
                <w:color w:val="auto"/>
                <w:kern w:val="2"/>
                <w:highlight w:val="none"/>
                <w:lang w:bidi="ar"/>
              </w:rPr>
              <w:t>二、医用耗材明细表</w:t>
            </w:r>
          </w:p>
        </w:tc>
        <w:tc>
          <w:tcPr>
            <w:tcW w:w="854" w:type="dxa"/>
            <w:tcBorders>
              <w:top w:val="single" w:color="000000" w:sz="4" w:space="0"/>
              <w:left w:val="single" w:color="000000" w:sz="4" w:space="0"/>
              <w:bottom w:val="single" w:color="000000" w:sz="4" w:space="0"/>
              <w:right w:val="single" w:color="000000" w:sz="4" w:space="0"/>
            </w:tcBorders>
            <w:vAlign w:val="center"/>
          </w:tcPr>
          <w:p w14:paraId="1A5D6BE5">
            <w:pPr>
              <w:jc w:val="both"/>
              <w:textAlignment w:val="center"/>
              <w:rPr>
                <w:rFonts w:hint="eastAsia" w:asciiTheme="minorEastAsia" w:hAnsiTheme="minorEastAsia" w:eastAsiaTheme="minorEastAsia" w:cstheme="minorEastAsia"/>
                <w:b/>
                <w:color w:val="auto"/>
                <w:kern w:val="2"/>
                <w:highlight w:val="none"/>
                <w:lang w:bidi="ar"/>
              </w:rPr>
            </w:pPr>
          </w:p>
        </w:tc>
      </w:tr>
      <w:tr w14:paraId="63478905">
        <w:tblPrEx>
          <w:tblCellMar>
            <w:top w:w="15" w:type="dxa"/>
            <w:left w:w="15" w:type="dxa"/>
            <w:bottom w:w="15" w:type="dxa"/>
            <w:right w:w="15" w:type="dxa"/>
          </w:tblCellMar>
        </w:tblPrEx>
        <w:trPr>
          <w:trHeight w:val="570"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16B4862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序号</w:t>
            </w:r>
          </w:p>
        </w:tc>
        <w:tc>
          <w:tcPr>
            <w:tcW w:w="1297" w:type="dxa"/>
            <w:tcBorders>
              <w:top w:val="single" w:color="000000" w:sz="4" w:space="0"/>
              <w:left w:val="single" w:color="000000" w:sz="4" w:space="0"/>
              <w:bottom w:val="single" w:color="000000" w:sz="4" w:space="0"/>
              <w:right w:val="single" w:color="000000" w:sz="4" w:space="0"/>
            </w:tcBorders>
            <w:vAlign w:val="center"/>
          </w:tcPr>
          <w:p w14:paraId="32A57F3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产品名称</w:t>
            </w:r>
          </w:p>
        </w:tc>
        <w:tc>
          <w:tcPr>
            <w:tcW w:w="1023" w:type="dxa"/>
            <w:tcBorders>
              <w:top w:val="single" w:color="000000" w:sz="4" w:space="0"/>
              <w:left w:val="single" w:color="000000" w:sz="4" w:space="0"/>
              <w:bottom w:val="single" w:color="000000" w:sz="4" w:space="0"/>
              <w:right w:val="single" w:color="000000" w:sz="4" w:space="0"/>
            </w:tcBorders>
            <w:vAlign w:val="center"/>
          </w:tcPr>
          <w:p w14:paraId="2C8E8671">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规格型号</w:t>
            </w:r>
          </w:p>
        </w:tc>
        <w:tc>
          <w:tcPr>
            <w:tcW w:w="679" w:type="dxa"/>
            <w:tcBorders>
              <w:top w:val="single" w:color="000000" w:sz="4" w:space="0"/>
              <w:left w:val="single" w:color="000000" w:sz="4" w:space="0"/>
              <w:bottom w:val="single" w:color="000000" w:sz="4" w:space="0"/>
              <w:right w:val="single" w:color="000000" w:sz="4" w:space="0"/>
            </w:tcBorders>
            <w:vAlign w:val="center"/>
          </w:tcPr>
          <w:p w14:paraId="61FB95E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注册证号</w:t>
            </w:r>
          </w:p>
        </w:tc>
        <w:tc>
          <w:tcPr>
            <w:tcW w:w="1093" w:type="dxa"/>
            <w:tcBorders>
              <w:top w:val="single" w:color="000000" w:sz="4" w:space="0"/>
              <w:left w:val="single" w:color="000000" w:sz="4" w:space="0"/>
              <w:bottom w:val="single" w:color="000000" w:sz="4" w:space="0"/>
              <w:right w:val="single" w:color="000000" w:sz="4" w:space="0"/>
            </w:tcBorders>
            <w:vAlign w:val="center"/>
          </w:tcPr>
          <w:p w14:paraId="69838533">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生产企业</w:t>
            </w:r>
          </w:p>
        </w:tc>
        <w:tc>
          <w:tcPr>
            <w:tcW w:w="1023" w:type="dxa"/>
            <w:tcBorders>
              <w:top w:val="single" w:color="000000" w:sz="4" w:space="0"/>
              <w:left w:val="single" w:color="000000" w:sz="4" w:space="0"/>
              <w:bottom w:val="single" w:color="000000" w:sz="4" w:space="0"/>
              <w:right w:val="single" w:color="000000" w:sz="4" w:space="0"/>
            </w:tcBorders>
            <w:vAlign w:val="center"/>
          </w:tcPr>
          <w:p w14:paraId="556B978A">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包装单位</w:t>
            </w:r>
          </w:p>
        </w:tc>
        <w:tc>
          <w:tcPr>
            <w:tcW w:w="1173" w:type="dxa"/>
            <w:tcBorders>
              <w:top w:val="single" w:color="000000" w:sz="4" w:space="0"/>
              <w:left w:val="single" w:color="000000" w:sz="4" w:space="0"/>
              <w:bottom w:val="single" w:color="000000" w:sz="4" w:space="0"/>
              <w:right w:val="single" w:color="000000" w:sz="4" w:space="0"/>
            </w:tcBorders>
            <w:vAlign w:val="center"/>
          </w:tcPr>
          <w:p w14:paraId="064AF049">
            <w:pPr>
              <w:jc w:val="center"/>
              <w:rPr>
                <w:rFonts w:hint="eastAsia" w:asciiTheme="minorEastAsia" w:hAnsiTheme="minorEastAsia" w:eastAsiaTheme="minorEastAsia" w:cstheme="minorEastAsia"/>
                <w:color w:val="auto"/>
                <w:kern w:val="2"/>
                <w:highlight w:val="none"/>
              </w:rPr>
            </w:pPr>
            <w:r>
              <w:rPr>
                <w:rFonts w:hint="eastAsia" w:ascii="宋体" w:hAnsi="宋体" w:cs="宋体"/>
                <w:color w:val="000000"/>
                <w:kern w:val="0"/>
                <w:sz w:val="22"/>
                <w:szCs w:val="22"/>
              </w:rPr>
              <w:t>单价（元）</w:t>
            </w:r>
          </w:p>
        </w:tc>
        <w:tc>
          <w:tcPr>
            <w:tcW w:w="709" w:type="dxa"/>
            <w:tcBorders>
              <w:top w:val="single" w:color="000000" w:sz="4" w:space="0"/>
              <w:left w:val="single" w:color="000000" w:sz="4" w:space="0"/>
              <w:bottom w:val="single" w:color="000000" w:sz="4" w:space="0"/>
              <w:right w:val="single" w:color="000000" w:sz="4" w:space="0"/>
            </w:tcBorders>
            <w:vAlign w:val="center"/>
          </w:tcPr>
          <w:p w14:paraId="13D144FC">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合计单价</w:t>
            </w:r>
          </w:p>
        </w:tc>
        <w:tc>
          <w:tcPr>
            <w:tcW w:w="945" w:type="dxa"/>
            <w:tcBorders>
              <w:top w:val="single" w:color="000000" w:sz="4" w:space="0"/>
              <w:left w:val="single" w:color="000000" w:sz="4" w:space="0"/>
              <w:bottom w:val="single" w:color="000000" w:sz="4" w:space="0"/>
              <w:right w:val="single" w:color="000000" w:sz="4" w:space="0"/>
            </w:tcBorders>
            <w:vAlign w:val="center"/>
          </w:tcPr>
          <w:p w14:paraId="3F70C476">
            <w:pPr>
              <w:jc w:val="center"/>
              <w:rPr>
                <w:rFonts w:hint="eastAsia" w:asciiTheme="minorEastAsia" w:hAnsiTheme="minorEastAsia" w:eastAsiaTheme="minorEastAsia" w:cstheme="minorEastAsia"/>
                <w:color w:val="auto"/>
                <w:kern w:val="2"/>
                <w:highlight w:val="none"/>
                <w:lang w:bidi="ar"/>
              </w:rPr>
            </w:pPr>
            <w:r>
              <w:rPr>
                <w:rFonts w:hint="eastAsia" w:ascii="宋体" w:hAnsi="宋体" w:cs="宋体"/>
                <w:color w:val="000000"/>
                <w:kern w:val="0"/>
                <w:sz w:val="22"/>
                <w:szCs w:val="22"/>
              </w:rPr>
              <w:t>国家医保编码</w:t>
            </w:r>
          </w:p>
        </w:tc>
        <w:tc>
          <w:tcPr>
            <w:tcW w:w="854" w:type="dxa"/>
            <w:tcBorders>
              <w:top w:val="single" w:color="000000" w:sz="4" w:space="0"/>
              <w:left w:val="single" w:color="000000" w:sz="4" w:space="0"/>
              <w:bottom w:val="single" w:color="000000" w:sz="4" w:space="0"/>
              <w:right w:val="single" w:color="000000" w:sz="4" w:space="0"/>
            </w:tcBorders>
            <w:vAlign w:val="center"/>
          </w:tcPr>
          <w:p w14:paraId="2BF37F99">
            <w:pPr>
              <w:jc w:val="center"/>
              <w:rPr>
                <w:rFonts w:hint="eastAsia" w:asciiTheme="minorEastAsia" w:hAnsiTheme="minorEastAsia" w:eastAsiaTheme="minorEastAsia" w:cstheme="minorEastAsia"/>
                <w:color w:val="auto"/>
                <w:kern w:val="2"/>
                <w:highlight w:val="none"/>
                <w:lang w:bidi="ar"/>
              </w:rPr>
            </w:pPr>
            <w:r>
              <w:rPr>
                <w:rFonts w:hint="eastAsia" w:ascii="宋体" w:hAnsi="宋体" w:cs="宋体"/>
                <w:color w:val="000000"/>
                <w:kern w:val="0"/>
                <w:sz w:val="22"/>
                <w:szCs w:val="22"/>
              </w:rPr>
              <w:t>省网药交ID</w:t>
            </w:r>
          </w:p>
        </w:tc>
      </w:tr>
      <w:tr w14:paraId="17B3B70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553F4AC4">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67E0F026">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检测试剂盒</w:t>
            </w:r>
          </w:p>
        </w:tc>
        <w:tc>
          <w:tcPr>
            <w:tcW w:w="1023" w:type="dxa"/>
            <w:tcBorders>
              <w:top w:val="single" w:color="000000" w:sz="4" w:space="0"/>
              <w:left w:val="single" w:color="000000" w:sz="4" w:space="0"/>
              <w:bottom w:val="single" w:color="000000" w:sz="4" w:space="0"/>
              <w:right w:val="single" w:color="000000" w:sz="4" w:space="0"/>
            </w:tcBorders>
            <w:vAlign w:val="center"/>
          </w:tcPr>
          <w:p w14:paraId="5987704D">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2DFEB088">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vAlign w:val="center"/>
          </w:tcPr>
          <w:p w14:paraId="685119D1">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F4E7267">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6F572412">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**元/人份</w:t>
            </w:r>
          </w:p>
        </w:tc>
        <w:tc>
          <w:tcPr>
            <w:tcW w:w="709" w:type="dxa"/>
            <w:vMerge w:val="restart"/>
            <w:tcBorders>
              <w:top w:val="single" w:color="000000" w:sz="4" w:space="0"/>
              <w:left w:val="single" w:color="000000" w:sz="4" w:space="0"/>
              <w:right w:val="single" w:color="000000" w:sz="4" w:space="0"/>
            </w:tcBorders>
            <w:vAlign w:val="center"/>
          </w:tcPr>
          <w:p w14:paraId="180136A2">
            <w:pPr>
              <w:ind w:firstLine="312" w:firstLineChars="0"/>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**元/人份</w:t>
            </w:r>
          </w:p>
        </w:tc>
        <w:tc>
          <w:tcPr>
            <w:tcW w:w="945" w:type="dxa"/>
            <w:tcBorders>
              <w:top w:val="single" w:color="000000" w:sz="4" w:space="0"/>
              <w:left w:val="single" w:color="000000" w:sz="4" w:space="0"/>
              <w:bottom w:val="single" w:color="000000" w:sz="4" w:space="0"/>
              <w:right w:val="single" w:color="000000" w:sz="4" w:space="0"/>
            </w:tcBorders>
            <w:vAlign w:val="center"/>
          </w:tcPr>
          <w:p w14:paraId="68881359">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0DD64949">
            <w:pPr>
              <w:jc w:val="both"/>
              <w:rPr>
                <w:rFonts w:hint="eastAsia" w:asciiTheme="minorEastAsia" w:hAnsiTheme="minorEastAsia" w:eastAsiaTheme="minorEastAsia" w:cstheme="minorEastAsia"/>
                <w:color w:val="auto"/>
                <w:kern w:val="2"/>
                <w:highlight w:val="none"/>
              </w:rPr>
            </w:pPr>
          </w:p>
        </w:tc>
      </w:tr>
      <w:tr w14:paraId="361C1C63">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1F6AFD76">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6E9D4490">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清洗液</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0E17">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4D7">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E064">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9C39CA4">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6C8C18E5">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6312F7D7">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DC25DBE">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43B9314F">
            <w:pPr>
              <w:jc w:val="both"/>
              <w:rPr>
                <w:rFonts w:hint="eastAsia" w:asciiTheme="minorEastAsia" w:hAnsiTheme="minorEastAsia" w:eastAsiaTheme="minorEastAsia" w:cstheme="minorEastAsia"/>
                <w:color w:val="auto"/>
                <w:kern w:val="2"/>
                <w:highlight w:val="none"/>
              </w:rPr>
            </w:pPr>
          </w:p>
        </w:tc>
      </w:tr>
      <w:tr w14:paraId="28B8892C">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CE069E4">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35DC157F">
            <w:pPr>
              <w:jc w:val="both"/>
              <w:rPr>
                <w:rFonts w:hint="eastAsia"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稀释液</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1C9">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4F0F">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B23">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203C9FE0">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3C3293FC">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6ADDFDF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0F90313">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5CCD88E3">
            <w:pPr>
              <w:jc w:val="both"/>
              <w:rPr>
                <w:rFonts w:hint="eastAsia" w:asciiTheme="minorEastAsia" w:hAnsiTheme="minorEastAsia" w:eastAsiaTheme="minorEastAsia" w:cstheme="minorEastAsia"/>
                <w:color w:val="auto"/>
                <w:kern w:val="2"/>
                <w:highlight w:val="none"/>
              </w:rPr>
            </w:pPr>
          </w:p>
        </w:tc>
      </w:tr>
      <w:tr w14:paraId="14D9DFA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6E4302F5">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3A85F91C">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反应杯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AB8">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21A">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E59">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DD1F7A7">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24800096">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5AE85DB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851219A">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25537FC3">
            <w:pPr>
              <w:jc w:val="both"/>
              <w:rPr>
                <w:rFonts w:hint="eastAsia" w:asciiTheme="minorEastAsia" w:hAnsiTheme="minorEastAsia" w:eastAsiaTheme="minorEastAsia" w:cstheme="minorEastAsia"/>
                <w:color w:val="auto"/>
                <w:kern w:val="2"/>
                <w:highlight w:val="none"/>
              </w:rPr>
            </w:pPr>
          </w:p>
        </w:tc>
      </w:tr>
      <w:tr w14:paraId="629C8509">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3F74962F">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vAlign w:val="center"/>
          </w:tcPr>
          <w:p w14:paraId="4A35C630">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质控品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C67">
            <w:pPr>
              <w:jc w:val="both"/>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6F8">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A8A">
            <w:pPr>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3DD8AB6F">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351AA9AF">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right w:val="single" w:color="000000" w:sz="4" w:space="0"/>
            </w:tcBorders>
            <w:vAlign w:val="center"/>
          </w:tcPr>
          <w:p w14:paraId="481A3518">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C4AA157">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4E60FE6B">
            <w:pPr>
              <w:jc w:val="both"/>
              <w:rPr>
                <w:rFonts w:hint="eastAsia" w:asciiTheme="minorEastAsia" w:hAnsiTheme="minorEastAsia" w:eastAsiaTheme="minorEastAsia" w:cstheme="minorEastAsia"/>
                <w:color w:val="auto"/>
                <w:kern w:val="2"/>
                <w:highlight w:val="none"/>
              </w:rPr>
            </w:pPr>
          </w:p>
        </w:tc>
      </w:tr>
      <w:tr w14:paraId="30D8F7A5">
        <w:tblPrEx>
          <w:tblCellMar>
            <w:top w:w="15" w:type="dxa"/>
            <w:left w:w="15" w:type="dxa"/>
            <w:bottom w:w="15" w:type="dxa"/>
            <w:right w:w="15" w:type="dxa"/>
          </w:tblCellMar>
        </w:tblPrEx>
        <w:trPr>
          <w:trHeight w:val="286" w:hRule="atLeast"/>
        </w:trPr>
        <w:tc>
          <w:tcPr>
            <w:tcW w:w="392" w:type="dxa"/>
            <w:tcBorders>
              <w:top w:val="single" w:color="000000" w:sz="4" w:space="0"/>
              <w:left w:val="single" w:color="000000" w:sz="4" w:space="0"/>
              <w:bottom w:val="single" w:color="000000" w:sz="4" w:space="0"/>
              <w:right w:val="single" w:color="000000" w:sz="4" w:space="0"/>
            </w:tcBorders>
            <w:vAlign w:val="center"/>
          </w:tcPr>
          <w:p w14:paraId="0C6934B4">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vAlign w:val="center"/>
          </w:tcPr>
          <w:p w14:paraId="6ED42E22">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12D5DAE4">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56E4535A">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vAlign w:val="center"/>
          </w:tcPr>
          <w:p w14:paraId="657637E4">
            <w:pPr>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023" w:type="dxa"/>
            <w:tcBorders>
              <w:top w:val="single" w:color="000000" w:sz="4" w:space="0"/>
              <w:left w:val="single" w:color="000000" w:sz="4" w:space="0"/>
              <w:bottom w:val="single" w:color="000000" w:sz="4" w:space="0"/>
              <w:right w:val="single" w:color="000000" w:sz="4" w:space="0"/>
            </w:tcBorders>
            <w:vAlign w:val="center"/>
          </w:tcPr>
          <w:p w14:paraId="4E5BF19E">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1173" w:type="dxa"/>
            <w:tcBorders>
              <w:top w:val="single" w:color="000000" w:sz="4" w:space="0"/>
              <w:left w:val="single" w:color="000000" w:sz="4" w:space="0"/>
              <w:bottom w:val="single" w:color="000000" w:sz="4" w:space="0"/>
              <w:right w:val="single" w:color="000000" w:sz="4" w:space="0"/>
            </w:tcBorders>
            <w:vAlign w:val="center"/>
          </w:tcPr>
          <w:p w14:paraId="75BD9DC1">
            <w:pPr>
              <w:jc w:val="both"/>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color w:val="auto"/>
                <w:kern w:val="2"/>
                <w:highlight w:val="none"/>
                <w:lang w:val="en-US" w:eastAsia="zh-CN"/>
              </w:rPr>
              <w:t>**</w:t>
            </w:r>
          </w:p>
        </w:tc>
        <w:tc>
          <w:tcPr>
            <w:tcW w:w="709" w:type="dxa"/>
            <w:vMerge w:val="continue"/>
            <w:tcBorders>
              <w:left w:val="single" w:color="000000" w:sz="4" w:space="0"/>
              <w:bottom w:val="single" w:color="000000" w:sz="4" w:space="0"/>
              <w:right w:val="single" w:color="000000" w:sz="4" w:space="0"/>
            </w:tcBorders>
            <w:vAlign w:val="center"/>
          </w:tcPr>
          <w:p w14:paraId="04FDAF6F">
            <w:pPr>
              <w:jc w:val="both"/>
              <w:rPr>
                <w:rFonts w:hint="eastAsia" w:asciiTheme="minorEastAsia" w:hAnsiTheme="minorEastAsia" w:eastAsiaTheme="minorEastAsia" w:cstheme="minorEastAsia"/>
                <w:color w:val="auto"/>
                <w:kern w:val="2"/>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F93C03C">
            <w:pPr>
              <w:jc w:val="both"/>
              <w:rPr>
                <w:rFonts w:hint="eastAsia" w:asciiTheme="minorEastAsia" w:hAnsiTheme="minorEastAsia" w:eastAsiaTheme="minorEastAsia" w:cstheme="minorEastAsia"/>
                <w:color w:val="auto"/>
                <w:kern w:val="2"/>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14:paraId="3CE56DA5">
            <w:pPr>
              <w:jc w:val="both"/>
              <w:rPr>
                <w:rFonts w:hint="eastAsia" w:asciiTheme="minorEastAsia" w:hAnsiTheme="minorEastAsia" w:eastAsiaTheme="minorEastAsia" w:cstheme="minorEastAsia"/>
                <w:color w:val="auto"/>
                <w:kern w:val="2"/>
                <w:highlight w:val="none"/>
              </w:rPr>
            </w:pPr>
          </w:p>
        </w:tc>
      </w:tr>
      <w:tr w14:paraId="4A16B6A1">
        <w:tblPrEx>
          <w:tblCellMar>
            <w:top w:w="15" w:type="dxa"/>
            <w:left w:w="15" w:type="dxa"/>
            <w:bottom w:w="15" w:type="dxa"/>
            <w:right w:w="15" w:type="dxa"/>
          </w:tblCellMar>
        </w:tblPrEx>
        <w:trPr>
          <w:trHeight w:val="286" w:hRule="atLeast"/>
        </w:trPr>
        <w:tc>
          <w:tcPr>
            <w:tcW w:w="9188" w:type="dxa"/>
            <w:gridSpan w:val="10"/>
            <w:tcBorders>
              <w:top w:val="single" w:color="000000" w:sz="4" w:space="0"/>
              <w:left w:val="single" w:color="000000" w:sz="4" w:space="0"/>
              <w:bottom w:val="single" w:color="000000" w:sz="4" w:space="0"/>
              <w:right w:val="single" w:color="000000" w:sz="4" w:space="0"/>
            </w:tcBorders>
            <w:vAlign w:val="center"/>
          </w:tcPr>
          <w:p w14:paraId="2055078C">
            <w:pPr>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医用耗材</w:t>
            </w:r>
            <w:r>
              <w:rPr>
                <w:rFonts w:hint="eastAsia" w:asciiTheme="minorEastAsia" w:hAnsiTheme="minorEastAsia" w:eastAsiaTheme="minorEastAsia" w:cstheme="minorEastAsia"/>
                <w:color w:val="auto"/>
                <w:kern w:val="2"/>
                <w:highlight w:val="none"/>
                <w:lang w:bidi="ar"/>
              </w:rPr>
              <w:t>报价合计：元</w:t>
            </w:r>
          </w:p>
        </w:tc>
      </w:tr>
      <w:tr w14:paraId="019FB769">
        <w:tblPrEx>
          <w:tblCellMar>
            <w:top w:w="15" w:type="dxa"/>
            <w:left w:w="15" w:type="dxa"/>
            <w:bottom w:w="15" w:type="dxa"/>
            <w:right w:w="15" w:type="dxa"/>
          </w:tblCellMar>
        </w:tblPrEx>
        <w:trPr>
          <w:trHeight w:val="585" w:hRule="atLeast"/>
        </w:trPr>
        <w:tc>
          <w:tcPr>
            <w:tcW w:w="2712" w:type="dxa"/>
            <w:gridSpan w:val="3"/>
            <w:vMerge w:val="restart"/>
            <w:tcBorders>
              <w:top w:val="single" w:color="000000" w:sz="4" w:space="0"/>
              <w:left w:val="single" w:color="000000" w:sz="4" w:space="0"/>
              <w:right w:val="single" w:color="000000" w:sz="4" w:space="0"/>
            </w:tcBorders>
            <w:vAlign w:val="center"/>
          </w:tcPr>
          <w:p w14:paraId="68F42E53">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1FB577A9">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（大写金额）人民币元整</w:t>
            </w:r>
          </w:p>
        </w:tc>
      </w:tr>
      <w:tr w14:paraId="5797F992">
        <w:tblPrEx>
          <w:tblCellMar>
            <w:top w:w="15" w:type="dxa"/>
            <w:left w:w="15" w:type="dxa"/>
            <w:bottom w:w="15" w:type="dxa"/>
            <w:right w:w="15" w:type="dxa"/>
          </w:tblCellMar>
        </w:tblPrEx>
        <w:trPr>
          <w:trHeight w:val="585" w:hRule="atLeast"/>
        </w:trPr>
        <w:tc>
          <w:tcPr>
            <w:tcW w:w="2712" w:type="dxa"/>
            <w:gridSpan w:val="3"/>
            <w:vMerge w:val="continue"/>
            <w:tcBorders>
              <w:left w:val="single" w:color="000000" w:sz="4" w:space="0"/>
              <w:right w:val="single" w:color="000000" w:sz="4" w:space="0"/>
            </w:tcBorders>
            <w:vAlign w:val="center"/>
          </w:tcPr>
          <w:p w14:paraId="3B29F324">
            <w:pPr>
              <w:jc w:val="center"/>
              <w:textAlignment w:val="center"/>
              <w:rPr>
                <w:rFonts w:hint="eastAsia" w:asciiTheme="minorEastAsia" w:hAnsiTheme="minorEastAsia" w:eastAsiaTheme="minorEastAsia" w:cstheme="minorEastAsia"/>
                <w:color w:val="auto"/>
                <w:kern w:val="2"/>
                <w:highlight w:val="none"/>
                <w:lang w:bidi="ar"/>
              </w:rPr>
            </w:pP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3EE11CCC">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（小写金额）（￥元）</w:t>
            </w:r>
          </w:p>
        </w:tc>
      </w:tr>
      <w:tr w14:paraId="7D3C8BBD">
        <w:tblPrEx>
          <w:tblCellMar>
            <w:top w:w="15" w:type="dxa"/>
            <w:left w:w="15" w:type="dxa"/>
            <w:bottom w:w="15" w:type="dxa"/>
            <w:right w:w="15" w:type="dxa"/>
          </w:tblCellMar>
        </w:tblPrEx>
        <w:trPr>
          <w:trHeight w:val="585" w:hRule="atLeast"/>
        </w:trPr>
        <w:tc>
          <w:tcPr>
            <w:tcW w:w="2712" w:type="dxa"/>
            <w:gridSpan w:val="3"/>
            <w:vMerge w:val="continue"/>
            <w:tcBorders>
              <w:left w:val="single" w:color="000000" w:sz="4" w:space="0"/>
              <w:bottom w:val="single" w:color="000000" w:sz="4" w:space="0"/>
              <w:right w:val="single" w:color="000000" w:sz="4" w:space="0"/>
            </w:tcBorders>
            <w:vAlign w:val="center"/>
          </w:tcPr>
          <w:p w14:paraId="74151BE0">
            <w:pPr>
              <w:jc w:val="center"/>
              <w:textAlignment w:val="center"/>
              <w:rPr>
                <w:rFonts w:hint="eastAsia" w:asciiTheme="minorEastAsia" w:hAnsiTheme="minorEastAsia" w:eastAsiaTheme="minorEastAsia" w:cstheme="minorEastAsia"/>
                <w:color w:val="auto"/>
                <w:kern w:val="2"/>
                <w:highlight w:val="none"/>
                <w:lang w:bidi="ar"/>
              </w:rPr>
            </w:pPr>
          </w:p>
        </w:tc>
        <w:tc>
          <w:tcPr>
            <w:tcW w:w="6476" w:type="dxa"/>
            <w:gridSpan w:val="7"/>
            <w:tcBorders>
              <w:top w:val="single" w:color="000000" w:sz="4" w:space="0"/>
              <w:left w:val="single" w:color="000000" w:sz="4" w:space="0"/>
              <w:bottom w:val="single" w:color="000000" w:sz="4" w:space="0"/>
              <w:right w:val="single" w:color="000000" w:sz="4" w:space="0"/>
            </w:tcBorders>
            <w:vAlign w:val="center"/>
          </w:tcPr>
          <w:p w14:paraId="06906FA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rPr>
              <w:t>备注：总报价=5年租赁费用+15000人份*合计单价</w:t>
            </w:r>
          </w:p>
        </w:tc>
      </w:tr>
    </w:tbl>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0A08448D">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46346152">
      <w:pPr>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法定代表人（或授权代表）：（签字）</w:t>
      </w:r>
    </w:p>
    <w:p w14:paraId="7F3F2100">
      <w:pPr>
        <w:spacing w:line="360" w:lineRule="auto"/>
        <w:ind w:left="420" w:left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人名称：（盖章）日期：</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日</w:t>
      </w:r>
    </w:p>
    <w:p w14:paraId="39B02347">
      <w:pPr>
        <w:rPr>
          <w:highlight w:val="none"/>
        </w:rPr>
      </w:pPr>
      <w:r>
        <w:rPr>
          <w:rFonts w:hint="eastAsia" w:asciiTheme="minorEastAsia" w:hAnsiTheme="minorEastAsia" w:eastAsiaTheme="minorEastAsia" w:cstheme="minorEastAsia"/>
          <w:color w:val="auto"/>
          <w:highlight w:val="none"/>
        </w:rPr>
        <w:br w:type="page"/>
      </w:r>
    </w:p>
    <w:p w14:paraId="537CA62D">
      <w:pPr>
        <w:pStyle w:val="35"/>
        <w:numPr>
          <w:ilvl w:val="0"/>
          <w:numId w:val="3"/>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3" w:name="_Toc17233"/>
      <w:bookmarkStart w:id="4" w:name="_Toc21096"/>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bookmarkEnd w:id="3"/>
      <w:bookmarkEnd w:id="4"/>
      <w:r>
        <w:rPr>
          <w:rFonts w:hint="eastAsia"/>
          <w:b/>
          <w:bCs/>
          <w:color w:val="auto"/>
          <w:highlight w:val="none"/>
        </w:rPr>
        <w:t>重要技术参数“▲”响应情况表</w:t>
      </w:r>
    </w:p>
    <w:p w14:paraId="776B294A">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727CBAD3">
      <w:pPr>
        <w:rPr>
          <w:rFonts w:hint="eastAsia"/>
          <w:color w:val="auto"/>
          <w:highlight w:val="none"/>
        </w:rPr>
      </w:pP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398"/>
        <w:gridCol w:w="2806"/>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文件条款描述</w:t>
            </w:r>
          </w:p>
        </w:tc>
        <w:tc>
          <w:tcPr>
            <w:tcW w:w="1497"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43A38EAC">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▲设备采用化学发光法检测原理，定性、定量检测；支持夹心法、间接法、捕获法、竞争法等多种免疫分析方法；支持血清、血浆、尿液、唾液、痰液、脑脊液、肺泡灌洗液、拭子洗脱液等样本。</w:t>
            </w:r>
          </w:p>
        </w:tc>
        <w:tc>
          <w:tcPr>
            <w:tcW w:w="1497"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4050E27B">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▲设备可根据后续检测需求拓展多个分析模块联机，可拓展分析模块≥2个。</w:t>
            </w:r>
          </w:p>
        </w:tc>
        <w:tc>
          <w:tcPr>
            <w:tcW w:w="1497"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7"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4FD0E1B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“用户需求书”中技术条款带“▲”号各条目号内容逐条响应。如有缺漏，缺漏项视同不符合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35157CEB">
      <w:pPr>
        <w:spacing w:line="360" w:lineRule="auto"/>
        <w:rPr>
          <w:rFonts w:hint="eastAsia" w:asciiTheme="minorEastAsia" w:hAnsiTheme="minorEastAsia" w:eastAsiaTheme="minorEastAsia" w:cstheme="minorEastAsia"/>
          <w:b/>
          <w:bCs/>
          <w:color w:val="auto"/>
          <w:highlight w:val="none"/>
        </w:rPr>
      </w:pPr>
    </w:p>
    <w:p w14:paraId="7EAE214E">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B63E8D3">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41A362B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二</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311B7D4F">
      <w:pPr>
        <w:bidi w:val="0"/>
        <w:rPr>
          <w:rFonts w:hint="eastAsia"/>
          <w:color w:val="auto"/>
          <w:highlight w:val="none"/>
        </w:rPr>
      </w:pPr>
    </w:p>
    <w:tbl>
      <w:tblPr>
        <w:tblStyle w:val="20"/>
        <w:tblW w:w="54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3011"/>
        <w:gridCol w:w="1639"/>
        <w:gridCol w:w="2102"/>
        <w:gridCol w:w="1276"/>
        <w:gridCol w:w="1667"/>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1464"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79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022"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620"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10"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1464" w:type="pct"/>
          </w:tcPr>
          <w:p w14:paraId="1DBCAE42">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设备单机检测速度≥200测试/小时，具备急诊检测模式，急诊样本优先检测，结果出具时间≤15min。</w:t>
            </w:r>
          </w:p>
        </w:tc>
        <w:tc>
          <w:tcPr>
            <w:tcW w:w="797" w:type="pct"/>
          </w:tcPr>
          <w:p w14:paraId="590609E2">
            <w:pPr>
              <w:rPr>
                <w:rFonts w:hint="eastAsia" w:asciiTheme="minorEastAsia" w:hAnsiTheme="minorEastAsia" w:eastAsiaTheme="minorEastAsia" w:cstheme="minorEastAsia"/>
                <w:color w:val="auto"/>
                <w:kern w:val="2"/>
                <w:highlight w:val="none"/>
              </w:rPr>
            </w:pPr>
          </w:p>
        </w:tc>
        <w:tc>
          <w:tcPr>
            <w:tcW w:w="1022" w:type="pct"/>
          </w:tcPr>
          <w:p w14:paraId="5424986C">
            <w:pPr>
              <w:rPr>
                <w:rFonts w:hint="eastAsia" w:asciiTheme="minorEastAsia" w:hAnsiTheme="minorEastAsia" w:eastAsiaTheme="minorEastAsia" w:cstheme="minorEastAsia"/>
                <w:color w:val="auto"/>
                <w:kern w:val="2"/>
                <w:highlight w:val="none"/>
              </w:rPr>
            </w:pPr>
          </w:p>
        </w:tc>
        <w:tc>
          <w:tcPr>
            <w:tcW w:w="620" w:type="pct"/>
          </w:tcPr>
          <w:p w14:paraId="3A3778C9">
            <w:pPr>
              <w:rPr>
                <w:rFonts w:hint="eastAsia" w:asciiTheme="minorEastAsia" w:hAnsiTheme="minorEastAsia" w:eastAsiaTheme="minorEastAsia" w:cstheme="minorEastAsia"/>
                <w:color w:val="auto"/>
                <w:kern w:val="2"/>
                <w:highlight w:val="none"/>
              </w:rPr>
            </w:pPr>
          </w:p>
        </w:tc>
        <w:tc>
          <w:tcPr>
            <w:tcW w:w="810"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1464" w:type="pct"/>
          </w:tcPr>
          <w:p w14:paraId="0B9B0F35">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设备内置具备2–8℃冷藏功能的试剂仓，设备关机时试剂仓仍可保持冷藏功能，试剂位≥20个；每台设备检测反应位≥140个，可支持多项目同时检测。</w:t>
            </w:r>
          </w:p>
        </w:tc>
        <w:tc>
          <w:tcPr>
            <w:tcW w:w="797" w:type="pct"/>
          </w:tcPr>
          <w:p w14:paraId="495B352B">
            <w:pPr>
              <w:rPr>
                <w:rFonts w:hint="eastAsia" w:asciiTheme="minorEastAsia" w:hAnsiTheme="minorEastAsia" w:eastAsiaTheme="minorEastAsia" w:cstheme="minorEastAsia"/>
                <w:color w:val="auto"/>
                <w:kern w:val="2"/>
                <w:highlight w:val="none"/>
              </w:rPr>
            </w:pPr>
          </w:p>
        </w:tc>
        <w:tc>
          <w:tcPr>
            <w:tcW w:w="1022" w:type="pct"/>
          </w:tcPr>
          <w:p w14:paraId="06D02BAA">
            <w:pPr>
              <w:rPr>
                <w:rFonts w:hint="eastAsia" w:asciiTheme="minorEastAsia" w:hAnsiTheme="minorEastAsia" w:eastAsiaTheme="minorEastAsia" w:cstheme="minorEastAsia"/>
                <w:color w:val="auto"/>
                <w:kern w:val="2"/>
                <w:highlight w:val="none"/>
              </w:rPr>
            </w:pPr>
          </w:p>
        </w:tc>
        <w:tc>
          <w:tcPr>
            <w:tcW w:w="620" w:type="pct"/>
          </w:tcPr>
          <w:p w14:paraId="43F8DD59">
            <w:pPr>
              <w:rPr>
                <w:rFonts w:hint="eastAsia" w:asciiTheme="minorEastAsia" w:hAnsiTheme="minorEastAsia" w:eastAsiaTheme="minorEastAsia" w:cstheme="minorEastAsia"/>
                <w:color w:val="auto"/>
                <w:kern w:val="2"/>
                <w:highlight w:val="none"/>
              </w:rPr>
            </w:pPr>
          </w:p>
        </w:tc>
        <w:tc>
          <w:tcPr>
            <w:tcW w:w="810"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1464" w:type="pct"/>
          </w:tcPr>
          <w:p w14:paraId="1E0D948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5</w:t>
            </w:r>
            <w:r>
              <w:rPr>
                <w:rFonts w:hint="eastAsia" w:ascii="宋体" w:hAnsi="宋体" w:cs="宋体"/>
                <w:bCs/>
                <w:sz w:val="24"/>
                <w:szCs w:val="24"/>
                <w:lang w:val="en-US" w:eastAsia="zh-CN"/>
              </w:rPr>
              <w:t>.</w:t>
            </w:r>
            <w:r>
              <w:rPr>
                <w:rFonts w:hint="eastAsia" w:ascii="宋体" w:hAnsi="宋体" w:eastAsia="宋体" w:cs="宋体"/>
                <w:bCs/>
                <w:sz w:val="24"/>
                <w:szCs w:val="24"/>
              </w:rPr>
              <w:t>采用一次性反应杯及一次性吸头进行加样检测，减少样本携带污染和交叉污染风险。</w:t>
            </w:r>
          </w:p>
        </w:tc>
        <w:tc>
          <w:tcPr>
            <w:tcW w:w="797" w:type="pct"/>
          </w:tcPr>
          <w:p w14:paraId="36E0746C">
            <w:pPr>
              <w:rPr>
                <w:rFonts w:hint="eastAsia" w:asciiTheme="minorEastAsia" w:hAnsiTheme="minorEastAsia" w:eastAsiaTheme="minorEastAsia" w:cstheme="minorEastAsia"/>
                <w:color w:val="auto"/>
                <w:kern w:val="2"/>
                <w:highlight w:val="none"/>
              </w:rPr>
            </w:pPr>
          </w:p>
        </w:tc>
        <w:tc>
          <w:tcPr>
            <w:tcW w:w="1022" w:type="pct"/>
          </w:tcPr>
          <w:p w14:paraId="1AC6181D">
            <w:pPr>
              <w:rPr>
                <w:rFonts w:hint="eastAsia" w:asciiTheme="minorEastAsia" w:hAnsiTheme="minorEastAsia" w:eastAsiaTheme="minorEastAsia" w:cstheme="minorEastAsia"/>
                <w:color w:val="auto"/>
                <w:kern w:val="2"/>
                <w:highlight w:val="none"/>
              </w:rPr>
            </w:pPr>
          </w:p>
        </w:tc>
        <w:tc>
          <w:tcPr>
            <w:tcW w:w="620" w:type="pct"/>
          </w:tcPr>
          <w:p w14:paraId="3A7C9E67">
            <w:pPr>
              <w:rPr>
                <w:rFonts w:hint="eastAsia" w:asciiTheme="minorEastAsia" w:hAnsiTheme="minorEastAsia" w:eastAsiaTheme="minorEastAsia" w:cstheme="minorEastAsia"/>
                <w:color w:val="auto"/>
                <w:kern w:val="2"/>
                <w:highlight w:val="none"/>
              </w:rPr>
            </w:pPr>
          </w:p>
        </w:tc>
        <w:tc>
          <w:tcPr>
            <w:tcW w:w="810"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1464" w:type="pct"/>
          </w:tcPr>
          <w:p w14:paraId="77BA0C60">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6</w:t>
            </w:r>
            <w:r>
              <w:rPr>
                <w:rFonts w:hint="eastAsia" w:ascii="宋体" w:hAnsi="宋体" w:cs="宋体"/>
                <w:bCs/>
                <w:sz w:val="24"/>
                <w:szCs w:val="24"/>
                <w:lang w:val="en-US" w:eastAsia="zh-CN"/>
              </w:rPr>
              <w:t>.</w:t>
            </w:r>
            <w:r>
              <w:rPr>
                <w:rFonts w:hint="eastAsia" w:ascii="宋体" w:hAnsi="宋体" w:eastAsia="宋体" w:cs="宋体"/>
                <w:bCs/>
                <w:sz w:val="24"/>
                <w:szCs w:val="24"/>
              </w:rPr>
              <w:t>设备检测全过程支持自动加样、自动混匀、自动孵育、自动清洗、自动检测和结果输出等功能，自动化运行，无需人工干预；支持不停机添加试剂、吸头、反应杯、辅助试剂等；支持样本自动重检、样本自动稀释检测。</w:t>
            </w:r>
          </w:p>
        </w:tc>
        <w:tc>
          <w:tcPr>
            <w:tcW w:w="797" w:type="pct"/>
          </w:tcPr>
          <w:p w14:paraId="1FF3E74A">
            <w:pPr>
              <w:rPr>
                <w:rFonts w:hint="eastAsia" w:asciiTheme="minorEastAsia" w:hAnsiTheme="minorEastAsia" w:eastAsiaTheme="minorEastAsia" w:cstheme="minorEastAsia"/>
                <w:color w:val="auto"/>
                <w:kern w:val="2"/>
                <w:highlight w:val="none"/>
              </w:rPr>
            </w:pPr>
          </w:p>
        </w:tc>
        <w:tc>
          <w:tcPr>
            <w:tcW w:w="1022" w:type="pct"/>
          </w:tcPr>
          <w:p w14:paraId="7138CC76">
            <w:pPr>
              <w:rPr>
                <w:rFonts w:hint="eastAsia" w:asciiTheme="minorEastAsia" w:hAnsiTheme="minorEastAsia" w:eastAsiaTheme="minorEastAsia" w:cstheme="minorEastAsia"/>
                <w:color w:val="auto"/>
                <w:kern w:val="2"/>
                <w:highlight w:val="none"/>
              </w:rPr>
            </w:pPr>
          </w:p>
        </w:tc>
        <w:tc>
          <w:tcPr>
            <w:tcW w:w="620" w:type="pct"/>
          </w:tcPr>
          <w:p w14:paraId="48D0CE54">
            <w:pPr>
              <w:rPr>
                <w:rFonts w:hint="eastAsia" w:asciiTheme="minorEastAsia" w:hAnsiTheme="minorEastAsia" w:eastAsiaTheme="minorEastAsia" w:cstheme="minorEastAsia"/>
                <w:color w:val="auto"/>
                <w:kern w:val="2"/>
                <w:highlight w:val="none"/>
              </w:rPr>
            </w:pPr>
          </w:p>
        </w:tc>
        <w:tc>
          <w:tcPr>
            <w:tcW w:w="810"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1464" w:type="pct"/>
          </w:tcPr>
          <w:p w14:paraId="0F5C60A7">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7</w:t>
            </w:r>
            <w:r>
              <w:rPr>
                <w:rFonts w:hint="eastAsia" w:ascii="宋体" w:hAnsi="宋体" w:cs="宋体"/>
                <w:bCs/>
                <w:sz w:val="24"/>
                <w:szCs w:val="24"/>
                <w:lang w:val="en-US" w:eastAsia="zh-CN"/>
              </w:rPr>
              <w:t>.</w:t>
            </w:r>
            <w:r>
              <w:rPr>
                <w:rFonts w:hint="eastAsia" w:ascii="宋体" w:hAnsi="宋体" w:eastAsia="宋体" w:cs="宋体"/>
                <w:bCs/>
                <w:sz w:val="24"/>
                <w:szCs w:val="24"/>
              </w:rPr>
              <w:t>设备加样系统具备液面探测、样本凝块与气泡、探测、防撞保护等功能。</w:t>
            </w:r>
          </w:p>
        </w:tc>
        <w:tc>
          <w:tcPr>
            <w:tcW w:w="797" w:type="pct"/>
          </w:tcPr>
          <w:p w14:paraId="1DAA1A46">
            <w:pPr>
              <w:jc w:val="left"/>
              <w:rPr>
                <w:rFonts w:hint="eastAsia" w:ascii="宋体" w:hAnsi="宋体" w:eastAsia="宋体" w:cs="宋体"/>
                <w:bCs/>
                <w:sz w:val="24"/>
                <w:szCs w:val="24"/>
              </w:rPr>
            </w:pPr>
          </w:p>
          <w:p w14:paraId="5CB0142B">
            <w:pPr>
              <w:rPr>
                <w:rFonts w:hint="eastAsia" w:asciiTheme="minorEastAsia" w:hAnsiTheme="minorEastAsia" w:eastAsiaTheme="minorEastAsia" w:cstheme="minorEastAsia"/>
                <w:color w:val="auto"/>
                <w:kern w:val="2"/>
                <w:highlight w:val="none"/>
              </w:rPr>
            </w:pPr>
          </w:p>
        </w:tc>
        <w:tc>
          <w:tcPr>
            <w:tcW w:w="1022" w:type="pct"/>
          </w:tcPr>
          <w:p w14:paraId="3FFFF234">
            <w:pPr>
              <w:rPr>
                <w:rFonts w:hint="eastAsia" w:asciiTheme="minorEastAsia" w:hAnsiTheme="minorEastAsia" w:eastAsiaTheme="minorEastAsia" w:cstheme="minorEastAsia"/>
                <w:color w:val="auto"/>
                <w:kern w:val="2"/>
                <w:highlight w:val="none"/>
              </w:rPr>
            </w:pPr>
          </w:p>
        </w:tc>
        <w:tc>
          <w:tcPr>
            <w:tcW w:w="620" w:type="pct"/>
          </w:tcPr>
          <w:p w14:paraId="6C880631">
            <w:pPr>
              <w:rPr>
                <w:rFonts w:hint="eastAsia" w:asciiTheme="minorEastAsia" w:hAnsiTheme="minorEastAsia" w:eastAsiaTheme="minorEastAsia" w:cstheme="minorEastAsia"/>
                <w:color w:val="auto"/>
                <w:kern w:val="2"/>
                <w:highlight w:val="none"/>
              </w:rPr>
            </w:pPr>
          </w:p>
        </w:tc>
        <w:tc>
          <w:tcPr>
            <w:tcW w:w="810"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1464" w:type="pct"/>
          </w:tcPr>
          <w:p w14:paraId="28012DC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8</w:t>
            </w:r>
            <w:r>
              <w:rPr>
                <w:rFonts w:hint="eastAsia" w:ascii="宋体" w:hAnsi="宋体" w:cs="宋体"/>
                <w:bCs/>
                <w:sz w:val="24"/>
                <w:szCs w:val="24"/>
                <w:lang w:val="en-US" w:eastAsia="zh-CN"/>
              </w:rPr>
              <w:t>.</w:t>
            </w:r>
            <w:r>
              <w:rPr>
                <w:rFonts w:hint="eastAsia" w:ascii="宋体" w:hAnsi="宋体" w:eastAsia="宋体" w:cs="宋体"/>
                <w:bCs/>
                <w:sz w:val="24"/>
                <w:szCs w:val="24"/>
              </w:rPr>
              <w:t>样本加载支持原始采血管、样本杯等多种不同规格的样本容器；支持单个样本上机检测，也支持批量样本上机检测，批量上机样本数≥150个。</w:t>
            </w:r>
          </w:p>
        </w:tc>
        <w:tc>
          <w:tcPr>
            <w:tcW w:w="797" w:type="pct"/>
          </w:tcPr>
          <w:p w14:paraId="61258F2C">
            <w:pPr>
              <w:rPr>
                <w:rFonts w:hint="eastAsia" w:asciiTheme="minorEastAsia" w:hAnsiTheme="minorEastAsia" w:eastAsiaTheme="minorEastAsia" w:cstheme="minorEastAsia"/>
                <w:color w:val="auto"/>
                <w:kern w:val="2"/>
                <w:highlight w:val="none"/>
              </w:rPr>
            </w:pPr>
          </w:p>
        </w:tc>
        <w:tc>
          <w:tcPr>
            <w:tcW w:w="1022" w:type="pct"/>
          </w:tcPr>
          <w:p w14:paraId="78D825C9">
            <w:pPr>
              <w:rPr>
                <w:rFonts w:hint="eastAsia" w:asciiTheme="minorEastAsia" w:hAnsiTheme="minorEastAsia" w:eastAsiaTheme="minorEastAsia" w:cstheme="minorEastAsia"/>
                <w:color w:val="auto"/>
                <w:kern w:val="2"/>
                <w:highlight w:val="none"/>
              </w:rPr>
            </w:pPr>
          </w:p>
        </w:tc>
        <w:tc>
          <w:tcPr>
            <w:tcW w:w="620" w:type="pct"/>
          </w:tcPr>
          <w:p w14:paraId="4583E0C5">
            <w:pPr>
              <w:rPr>
                <w:rFonts w:hint="eastAsia" w:asciiTheme="minorEastAsia" w:hAnsiTheme="minorEastAsia" w:eastAsiaTheme="minorEastAsia" w:cstheme="minorEastAsia"/>
                <w:color w:val="auto"/>
                <w:kern w:val="2"/>
                <w:highlight w:val="none"/>
              </w:rPr>
            </w:pPr>
          </w:p>
        </w:tc>
        <w:tc>
          <w:tcPr>
            <w:tcW w:w="810"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1464" w:type="pct"/>
          </w:tcPr>
          <w:p w14:paraId="6CB1A67E">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9</w:t>
            </w:r>
            <w:r>
              <w:rPr>
                <w:rFonts w:hint="eastAsia" w:ascii="宋体" w:hAnsi="宋体" w:cs="宋体"/>
                <w:bCs/>
                <w:sz w:val="24"/>
                <w:szCs w:val="24"/>
                <w:lang w:val="en-US" w:eastAsia="zh-CN"/>
              </w:rPr>
              <w:t>.</w:t>
            </w:r>
            <w:r>
              <w:rPr>
                <w:rFonts w:hint="eastAsia" w:ascii="宋体" w:hAnsi="宋体" w:eastAsia="宋体" w:cs="宋体"/>
                <w:bCs/>
                <w:sz w:val="24"/>
                <w:szCs w:val="24"/>
              </w:rPr>
              <w:t>检测项目支持结核分枝杆菌特异性细胞免疫反应检测（IGRA），可拓展感染性疾病标志物等项目检测；检测项目需配套校准品、质控品，满足日常室内质量控制要求。</w:t>
            </w:r>
          </w:p>
        </w:tc>
        <w:tc>
          <w:tcPr>
            <w:tcW w:w="797" w:type="pct"/>
          </w:tcPr>
          <w:p w14:paraId="50DC9E37">
            <w:pPr>
              <w:rPr>
                <w:rFonts w:hint="eastAsia" w:asciiTheme="minorEastAsia" w:hAnsiTheme="minorEastAsia" w:eastAsiaTheme="minorEastAsia" w:cstheme="minorEastAsia"/>
                <w:color w:val="auto"/>
                <w:kern w:val="2"/>
                <w:highlight w:val="none"/>
              </w:rPr>
            </w:pPr>
          </w:p>
        </w:tc>
        <w:tc>
          <w:tcPr>
            <w:tcW w:w="1022" w:type="pct"/>
          </w:tcPr>
          <w:p w14:paraId="6DE4EA00">
            <w:pPr>
              <w:rPr>
                <w:rFonts w:hint="eastAsia" w:asciiTheme="minorEastAsia" w:hAnsiTheme="minorEastAsia" w:eastAsiaTheme="minorEastAsia" w:cstheme="minorEastAsia"/>
                <w:color w:val="auto"/>
                <w:kern w:val="2"/>
                <w:highlight w:val="none"/>
              </w:rPr>
            </w:pPr>
          </w:p>
        </w:tc>
        <w:tc>
          <w:tcPr>
            <w:tcW w:w="620" w:type="pct"/>
          </w:tcPr>
          <w:p w14:paraId="40CA14CD">
            <w:pPr>
              <w:rPr>
                <w:rFonts w:hint="eastAsia" w:asciiTheme="minorEastAsia" w:hAnsiTheme="minorEastAsia" w:eastAsiaTheme="minorEastAsia" w:cstheme="minorEastAsia"/>
                <w:color w:val="auto"/>
                <w:kern w:val="2"/>
                <w:highlight w:val="none"/>
              </w:rPr>
            </w:pPr>
          </w:p>
        </w:tc>
        <w:tc>
          <w:tcPr>
            <w:tcW w:w="810"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1464" w:type="pct"/>
          </w:tcPr>
          <w:p w14:paraId="1DCB46E6">
            <w:pPr>
              <w:jc w:val="left"/>
              <w:rPr>
                <w:rFonts w:hint="eastAsia" w:asciiTheme="minorEastAsia" w:hAnsiTheme="minorEastAsia" w:eastAsiaTheme="minorEastAsia" w:cstheme="minorEastAsia"/>
                <w:color w:val="auto"/>
                <w:kern w:val="2"/>
                <w:highlight w:val="none"/>
              </w:rPr>
            </w:pPr>
            <w:r>
              <w:rPr>
                <w:rFonts w:hint="eastAsia" w:ascii="宋体" w:hAnsi="宋体" w:eastAsia="宋体" w:cs="宋体"/>
                <w:bCs/>
                <w:sz w:val="24"/>
                <w:szCs w:val="24"/>
              </w:rPr>
              <w:t>10</w:t>
            </w:r>
            <w:r>
              <w:rPr>
                <w:rFonts w:hint="eastAsia" w:ascii="宋体" w:hAnsi="宋体" w:cs="宋体"/>
                <w:bCs/>
                <w:sz w:val="24"/>
                <w:szCs w:val="24"/>
                <w:lang w:val="en-US" w:eastAsia="zh-CN"/>
              </w:rPr>
              <w:t>.</w:t>
            </w:r>
            <w:r>
              <w:rPr>
                <w:rFonts w:hint="eastAsia" w:ascii="宋体" w:hAnsi="宋体" w:eastAsia="宋体" w:cs="宋体"/>
                <w:bCs/>
                <w:sz w:val="24"/>
                <w:szCs w:val="24"/>
              </w:rPr>
              <w:t>设备具备中文操作系统，支持样本试管扫描条码识别，支持与LIS双向通讯对接。</w:t>
            </w:r>
          </w:p>
        </w:tc>
        <w:tc>
          <w:tcPr>
            <w:tcW w:w="797" w:type="pct"/>
          </w:tcPr>
          <w:p w14:paraId="4C9CA89D">
            <w:pPr>
              <w:rPr>
                <w:rFonts w:hint="eastAsia" w:asciiTheme="minorEastAsia" w:hAnsiTheme="minorEastAsia" w:eastAsiaTheme="minorEastAsia" w:cstheme="minorEastAsia"/>
                <w:color w:val="auto"/>
                <w:kern w:val="2"/>
                <w:highlight w:val="none"/>
              </w:rPr>
            </w:pPr>
          </w:p>
        </w:tc>
        <w:tc>
          <w:tcPr>
            <w:tcW w:w="1022" w:type="pct"/>
          </w:tcPr>
          <w:p w14:paraId="6A418D29">
            <w:pPr>
              <w:rPr>
                <w:rFonts w:hint="eastAsia" w:asciiTheme="minorEastAsia" w:hAnsiTheme="minorEastAsia" w:eastAsiaTheme="minorEastAsia" w:cstheme="minorEastAsia"/>
                <w:color w:val="auto"/>
                <w:kern w:val="2"/>
                <w:highlight w:val="none"/>
              </w:rPr>
            </w:pPr>
          </w:p>
        </w:tc>
        <w:tc>
          <w:tcPr>
            <w:tcW w:w="620" w:type="pct"/>
          </w:tcPr>
          <w:p w14:paraId="058A3B00">
            <w:pPr>
              <w:rPr>
                <w:rFonts w:hint="eastAsia" w:asciiTheme="minorEastAsia" w:hAnsiTheme="minorEastAsia" w:eastAsiaTheme="minorEastAsia" w:cstheme="minorEastAsia"/>
                <w:color w:val="auto"/>
                <w:kern w:val="2"/>
                <w:highlight w:val="none"/>
              </w:rPr>
            </w:pPr>
          </w:p>
        </w:tc>
        <w:tc>
          <w:tcPr>
            <w:tcW w:w="810"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1464" w:type="pct"/>
          </w:tcPr>
          <w:p w14:paraId="2F2FA5B4">
            <w:pPr>
              <w:rPr>
                <w:rFonts w:hint="eastAsia" w:asciiTheme="minorEastAsia" w:hAnsiTheme="minorEastAsia" w:eastAsiaTheme="minorEastAsia" w:cstheme="minorEastAsia"/>
                <w:color w:val="auto"/>
                <w:kern w:val="2"/>
                <w:highlight w:val="none"/>
              </w:rPr>
            </w:pPr>
          </w:p>
        </w:tc>
        <w:tc>
          <w:tcPr>
            <w:tcW w:w="797" w:type="pct"/>
          </w:tcPr>
          <w:p w14:paraId="6507FD2B">
            <w:pPr>
              <w:rPr>
                <w:rFonts w:hint="eastAsia" w:asciiTheme="minorEastAsia" w:hAnsiTheme="minorEastAsia" w:eastAsiaTheme="minorEastAsia" w:cstheme="minorEastAsia"/>
                <w:color w:val="auto"/>
                <w:kern w:val="2"/>
                <w:highlight w:val="none"/>
              </w:rPr>
            </w:pPr>
          </w:p>
        </w:tc>
        <w:tc>
          <w:tcPr>
            <w:tcW w:w="1022" w:type="pct"/>
          </w:tcPr>
          <w:p w14:paraId="4865B00C">
            <w:pPr>
              <w:rPr>
                <w:rFonts w:hint="eastAsia" w:asciiTheme="minorEastAsia" w:hAnsiTheme="minorEastAsia" w:eastAsiaTheme="minorEastAsia" w:cstheme="minorEastAsia"/>
                <w:color w:val="auto"/>
                <w:kern w:val="2"/>
                <w:highlight w:val="none"/>
              </w:rPr>
            </w:pPr>
          </w:p>
        </w:tc>
        <w:tc>
          <w:tcPr>
            <w:tcW w:w="620" w:type="pct"/>
          </w:tcPr>
          <w:p w14:paraId="171E34B0">
            <w:pPr>
              <w:rPr>
                <w:rFonts w:hint="eastAsia" w:asciiTheme="minorEastAsia" w:hAnsiTheme="minorEastAsia" w:eastAsiaTheme="minorEastAsia" w:cstheme="minorEastAsia"/>
                <w:color w:val="auto"/>
                <w:kern w:val="2"/>
                <w:highlight w:val="none"/>
              </w:rPr>
            </w:pPr>
          </w:p>
        </w:tc>
        <w:tc>
          <w:tcPr>
            <w:tcW w:w="810" w:type="pct"/>
          </w:tcPr>
          <w:p w14:paraId="100C8394">
            <w:pPr>
              <w:rPr>
                <w:rFonts w:hint="eastAsia" w:asciiTheme="minorEastAsia" w:hAnsiTheme="minorEastAsia" w:eastAsiaTheme="minorEastAsia" w:cstheme="minorEastAsia"/>
                <w:color w:val="auto"/>
                <w:kern w:val="2"/>
                <w:highlight w:val="none"/>
              </w:rPr>
            </w:pPr>
          </w:p>
        </w:tc>
      </w:tr>
    </w:tbl>
    <w:p w14:paraId="5AD4EC1D">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385DC99C">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2、所投货物配置、选型及供货能力证明文件；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rPr>
        <w:t>商务条款响应表</w:t>
      </w:r>
    </w:p>
    <w:p w14:paraId="2A64B956">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LX003</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中山市中医院全自动化学发光分析仪项目</w:t>
      </w:r>
    </w:p>
    <w:p w14:paraId="6BFA4080">
      <w:pPr>
        <w:numPr>
          <w:ilvl w:val="0"/>
          <w:numId w:val="0"/>
        </w:numPr>
        <w:rPr>
          <w:rFonts w:hint="eastAsia"/>
          <w:color w:val="auto"/>
          <w:highlight w:val="none"/>
        </w:rPr>
      </w:pPr>
    </w:p>
    <w:tbl>
      <w:tblPr>
        <w:tblStyle w:val="20"/>
        <w:tblW w:w="5619" w:type="pct"/>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024"/>
        <w:gridCol w:w="791"/>
        <w:gridCol w:w="85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09" w:type="pct"/>
            <w:vAlign w:val="center"/>
          </w:tcPr>
          <w:p w14:paraId="30794D74">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序号</w:t>
            </w:r>
          </w:p>
        </w:tc>
        <w:tc>
          <w:tcPr>
            <w:tcW w:w="3808" w:type="pct"/>
            <w:vAlign w:val="center"/>
          </w:tcPr>
          <w:p w14:paraId="0FBB8D08">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color w:val="auto"/>
                <w:kern w:val="2"/>
                <w:sz w:val="22"/>
                <w:szCs w:val="22"/>
                <w:highlight w:val="none"/>
              </w:rPr>
              <w:t>用户需求商务条款要求</w:t>
            </w:r>
          </w:p>
        </w:tc>
        <w:tc>
          <w:tcPr>
            <w:tcW w:w="375" w:type="pct"/>
            <w:vAlign w:val="center"/>
          </w:tcPr>
          <w:p w14:paraId="383986EA">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是否响应</w:t>
            </w:r>
          </w:p>
        </w:tc>
        <w:tc>
          <w:tcPr>
            <w:tcW w:w="407" w:type="pct"/>
            <w:vAlign w:val="center"/>
          </w:tcPr>
          <w:p w14:paraId="22E1AA48">
            <w:pPr>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偏离说明</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9" w:type="pct"/>
            <w:vAlign w:val="center"/>
          </w:tcPr>
          <w:p w14:paraId="27CE6075">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5DFFCACB">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1.标的提供的时间：</w:t>
            </w:r>
          </w:p>
          <w:p w14:paraId="38F8AF97">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1.1与医院签订设备租赁合同及耗材采购合同后，供应商须再10个工作日内向中山市中医院提供耗材，设备及并组织安装、安装等。</w:t>
            </w:r>
          </w:p>
        </w:tc>
        <w:tc>
          <w:tcPr>
            <w:tcW w:w="375" w:type="pct"/>
            <w:vAlign w:val="center"/>
          </w:tcPr>
          <w:p w14:paraId="501EC0EE">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c>
          <w:tcPr>
            <w:tcW w:w="407" w:type="pct"/>
            <w:vAlign w:val="center"/>
          </w:tcPr>
          <w:p w14:paraId="011A8D02">
            <w:pPr>
              <w:spacing w:line="360" w:lineRule="auto"/>
              <w:jc w:val="center"/>
              <w:rPr>
                <w:rFonts w:hint="eastAsia" w:ascii="宋体" w:hAnsi="宋体" w:eastAsia="宋体" w:cs="宋体"/>
                <w:color w:val="auto"/>
                <w:kern w:val="2"/>
                <w:sz w:val="22"/>
                <w:szCs w:val="22"/>
                <w:highlight w:val="none"/>
              </w:rPr>
            </w:pP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9" w:type="pct"/>
            <w:vAlign w:val="center"/>
          </w:tcPr>
          <w:p w14:paraId="5927D842">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131FB7F0">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1.2设备启用后第一个月为产品试用期，如在一个月内有多次不良反馈，厂家仍无法改善或供货期间发生不良事件经医院评估确认无法保障医疗质量安全的则甲方有权利单方终止合同。</w:t>
            </w:r>
          </w:p>
        </w:tc>
        <w:tc>
          <w:tcPr>
            <w:tcW w:w="375" w:type="pct"/>
            <w:vAlign w:val="center"/>
          </w:tcPr>
          <w:p w14:paraId="2D733E28">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c>
          <w:tcPr>
            <w:tcW w:w="407" w:type="pct"/>
            <w:vAlign w:val="center"/>
          </w:tcPr>
          <w:p w14:paraId="6C97990F">
            <w:pPr>
              <w:spacing w:line="360" w:lineRule="auto"/>
              <w:jc w:val="center"/>
              <w:rPr>
                <w:rFonts w:hint="eastAsia" w:ascii="宋体" w:hAnsi="宋体" w:eastAsia="宋体" w:cs="宋体"/>
                <w:color w:val="auto"/>
                <w:kern w:val="2"/>
                <w:sz w:val="22"/>
                <w:szCs w:val="22"/>
                <w:highlight w:val="none"/>
              </w:rPr>
            </w:pP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09" w:type="pct"/>
            <w:vAlign w:val="center"/>
          </w:tcPr>
          <w:p w14:paraId="215B83D7">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3E75F06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1.3供应商中选后，所供应产品的医疗器械注册证、规格型号等关键信息必须与遴选报名资料保持一致。</w:t>
            </w:r>
          </w:p>
        </w:tc>
        <w:tc>
          <w:tcPr>
            <w:tcW w:w="375" w:type="pct"/>
            <w:vAlign w:val="center"/>
          </w:tcPr>
          <w:p w14:paraId="2EA35C42">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3588FC1">
            <w:pPr>
              <w:spacing w:line="360" w:lineRule="auto"/>
              <w:ind w:right="-35"/>
              <w:jc w:val="center"/>
              <w:rPr>
                <w:rFonts w:hint="eastAsia" w:ascii="宋体" w:hAnsi="宋体" w:eastAsia="宋体" w:cs="宋体"/>
                <w:color w:val="auto"/>
                <w:kern w:val="2"/>
                <w:sz w:val="22"/>
                <w:szCs w:val="22"/>
                <w:highlight w:val="none"/>
              </w:rPr>
            </w:pP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09" w:type="pct"/>
            <w:vAlign w:val="center"/>
          </w:tcPr>
          <w:p w14:paraId="21DB26A4">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71A7B64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2.标的提供的地点：中山市中医院检验科</w:t>
            </w:r>
          </w:p>
        </w:tc>
        <w:tc>
          <w:tcPr>
            <w:tcW w:w="375" w:type="pct"/>
            <w:vAlign w:val="center"/>
          </w:tcPr>
          <w:p w14:paraId="4943A21D">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276B2A0">
            <w:pPr>
              <w:spacing w:line="360" w:lineRule="auto"/>
              <w:ind w:right="-35"/>
              <w:jc w:val="center"/>
              <w:rPr>
                <w:rFonts w:hint="eastAsia" w:ascii="宋体" w:hAnsi="宋体" w:eastAsia="宋体" w:cs="宋体"/>
                <w:color w:val="auto"/>
                <w:kern w:val="2"/>
                <w:sz w:val="22"/>
                <w:szCs w:val="22"/>
                <w:highlight w:val="none"/>
              </w:rPr>
            </w:pP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09" w:type="pct"/>
            <w:vAlign w:val="center"/>
          </w:tcPr>
          <w:p w14:paraId="4547B98E">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7EE29DA3">
            <w:pPr>
              <w:spacing w:line="360" w:lineRule="auto"/>
              <w:jc w:val="left"/>
              <w:rPr>
                <w:rFonts w:hint="eastAsia" w:ascii="宋体" w:hAnsi="宋体" w:eastAsia="宋体" w:cs="宋体"/>
                <w:i/>
                <w:iCs/>
                <w:color w:val="auto"/>
                <w:kern w:val="2"/>
                <w:sz w:val="22"/>
                <w:szCs w:val="22"/>
                <w:highlight w:val="none"/>
              </w:rPr>
            </w:pPr>
            <w:r>
              <w:rPr>
                <w:rFonts w:hint="eastAsia" w:ascii="宋体" w:hAnsi="宋体" w:eastAsia="宋体" w:cs="宋体"/>
                <w:color w:val="auto"/>
                <w:sz w:val="22"/>
                <w:szCs w:val="22"/>
                <w:highlight w:val="none"/>
                <w:lang w:val="en-US" w:eastAsia="zh-CN"/>
              </w:rPr>
              <w:t>3.响应有效期：从提交响应（响应）文件的截止之日起30日历天。</w:t>
            </w:r>
          </w:p>
        </w:tc>
        <w:tc>
          <w:tcPr>
            <w:tcW w:w="375" w:type="pct"/>
            <w:vAlign w:val="center"/>
          </w:tcPr>
          <w:p w14:paraId="2154B156">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D72A548">
            <w:pPr>
              <w:spacing w:line="360" w:lineRule="auto"/>
              <w:ind w:right="-35"/>
              <w:jc w:val="center"/>
              <w:rPr>
                <w:rFonts w:hint="eastAsia" w:ascii="宋体" w:hAnsi="宋体" w:eastAsia="宋体" w:cs="宋体"/>
                <w:color w:val="auto"/>
                <w:kern w:val="2"/>
                <w:sz w:val="22"/>
                <w:szCs w:val="22"/>
                <w:highlight w:val="none"/>
              </w:rPr>
            </w:pP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9" w:type="pct"/>
            <w:vAlign w:val="center"/>
          </w:tcPr>
          <w:p w14:paraId="3CAD1AF0">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50B4380D">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4.付款方式：</w:t>
            </w:r>
          </w:p>
          <w:p w14:paraId="04B7DCCE">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4.1设备结算：设备租赁满一年后，中选人须提供合同、租赁验收报告、有效发票给采购人，采购人收到后于60天内支付合同总额的100%。</w:t>
            </w:r>
          </w:p>
        </w:tc>
        <w:tc>
          <w:tcPr>
            <w:tcW w:w="375" w:type="pct"/>
            <w:vAlign w:val="center"/>
          </w:tcPr>
          <w:p w14:paraId="7AF86A4B">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75D5AF5D">
            <w:pPr>
              <w:spacing w:line="360" w:lineRule="auto"/>
              <w:ind w:right="-35"/>
              <w:jc w:val="center"/>
              <w:rPr>
                <w:rFonts w:hint="eastAsia" w:ascii="宋体" w:hAnsi="宋体" w:eastAsia="宋体" w:cs="宋体"/>
                <w:color w:val="auto"/>
                <w:kern w:val="2"/>
                <w:sz w:val="22"/>
                <w:szCs w:val="22"/>
                <w:highlight w:val="none"/>
              </w:rPr>
            </w:pP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09" w:type="pct"/>
            <w:vAlign w:val="center"/>
          </w:tcPr>
          <w:p w14:paraId="312B8106">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286F3ED9">
            <w:pPr>
              <w:widowControl/>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4.2耗材结算：</w:t>
            </w:r>
          </w:p>
          <w:p w14:paraId="308A8991">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4.2.1</w:t>
            </w:r>
            <w:r>
              <w:rPr>
                <w:rFonts w:hint="eastAsia" w:ascii="宋体" w:hAnsi="宋体" w:eastAsia="宋体" w:cs="宋体"/>
                <w:color w:val="000000"/>
                <w:sz w:val="22"/>
                <w:szCs w:val="22"/>
                <w:shd w:val="clear" w:color="auto" w:fill="FFFFFF"/>
                <w:lang w:val="en-US" w:eastAsia="zh-CN"/>
              </w:rPr>
              <w:t>耗材</w:t>
            </w:r>
            <w:r>
              <w:rPr>
                <w:rFonts w:hint="eastAsia" w:ascii="宋体" w:hAnsi="宋体" w:eastAsia="宋体" w:cs="宋体"/>
                <w:color w:val="000000"/>
                <w:sz w:val="22"/>
                <w:szCs w:val="22"/>
                <w:shd w:val="clear" w:color="auto" w:fill="FFFFFF"/>
              </w:rPr>
              <w:t>交易价格：按甲乙双方在交易平台达成的交易价格执行（具体见本合同附件之采购医用耗材明细表中的交易价），该价格包含耗材制造成本、运输、包装、附随服务等费用、税费及其他一切附加费用以及利润。</w:t>
            </w:r>
          </w:p>
        </w:tc>
        <w:tc>
          <w:tcPr>
            <w:tcW w:w="375" w:type="pct"/>
            <w:vAlign w:val="center"/>
          </w:tcPr>
          <w:p w14:paraId="416FF68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6EE65B9">
            <w:pPr>
              <w:spacing w:line="360" w:lineRule="auto"/>
              <w:ind w:right="-35"/>
              <w:jc w:val="center"/>
              <w:rPr>
                <w:rFonts w:hint="eastAsia" w:ascii="宋体" w:hAnsi="宋体" w:eastAsia="宋体" w:cs="宋体"/>
                <w:color w:val="auto"/>
                <w:kern w:val="2"/>
                <w:sz w:val="22"/>
                <w:szCs w:val="22"/>
                <w:highlight w:val="none"/>
              </w:rPr>
            </w:pP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9" w:type="pct"/>
            <w:vAlign w:val="center"/>
          </w:tcPr>
          <w:p w14:paraId="2EDBA699">
            <w:pPr>
              <w:widowControl w:val="0"/>
              <w:numPr>
                <w:ilvl w:val="1"/>
                <w:numId w:val="4"/>
              </w:numPr>
              <w:spacing w:line="360" w:lineRule="auto"/>
              <w:jc w:val="center"/>
              <w:rPr>
                <w:rFonts w:hint="eastAsia" w:ascii="宋体" w:hAnsi="宋体" w:eastAsia="宋体" w:cs="宋体"/>
                <w:color w:val="auto"/>
                <w:kern w:val="2"/>
                <w:sz w:val="22"/>
                <w:szCs w:val="22"/>
                <w:highlight w:val="none"/>
              </w:rPr>
            </w:pPr>
          </w:p>
        </w:tc>
        <w:tc>
          <w:tcPr>
            <w:tcW w:w="3808" w:type="pct"/>
            <w:vAlign w:val="center"/>
          </w:tcPr>
          <w:p w14:paraId="156EE561">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4.2.2</w:t>
            </w:r>
            <w:r>
              <w:rPr>
                <w:rFonts w:hint="eastAsia" w:ascii="宋体" w:hAnsi="宋体" w:eastAsia="宋体" w:cs="宋体"/>
                <w:color w:val="000000"/>
                <w:sz w:val="22"/>
                <w:szCs w:val="22"/>
                <w:shd w:val="clear" w:color="auto" w:fill="FFFFFF"/>
              </w:rPr>
              <w:t>本合同履行期间，如遇政策性调价，按政策规定的价格执行。</w:t>
            </w:r>
          </w:p>
        </w:tc>
        <w:tc>
          <w:tcPr>
            <w:tcW w:w="375" w:type="pct"/>
            <w:vAlign w:val="center"/>
          </w:tcPr>
          <w:p w14:paraId="29630191">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A664A99">
            <w:pPr>
              <w:pStyle w:val="34"/>
              <w:keepNext w:val="0"/>
              <w:adjustRightInd/>
              <w:spacing w:before="0" w:after="0" w:line="360" w:lineRule="auto"/>
              <w:textAlignment w:val="auto"/>
              <w:rPr>
                <w:rFonts w:hint="eastAsia" w:ascii="宋体" w:hAnsi="宋体" w:eastAsia="宋体" w:cs="宋体"/>
                <w:color w:val="auto"/>
                <w:spacing w:val="0"/>
                <w:kern w:val="2"/>
                <w:sz w:val="22"/>
                <w:szCs w:val="22"/>
                <w:highlight w:val="none"/>
              </w:rPr>
            </w:pP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5313B026">
            <w:pPr>
              <w:widowControl w:val="0"/>
              <w:spacing w:line="360" w:lineRule="auto"/>
              <w:ind w:left="170"/>
              <w:jc w:val="center"/>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9</w:t>
            </w:r>
          </w:p>
        </w:tc>
        <w:tc>
          <w:tcPr>
            <w:tcW w:w="3808" w:type="pct"/>
            <w:vAlign w:val="center"/>
          </w:tcPr>
          <w:p w14:paraId="1C06A424">
            <w:pPr>
              <w:widowControl/>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4.2.3</w:t>
            </w:r>
            <w:r>
              <w:rPr>
                <w:rFonts w:hint="eastAsia" w:ascii="宋体" w:hAnsi="宋体" w:eastAsia="宋体" w:cs="宋体"/>
                <w:color w:val="000000"/>
                <w:sz w:val="22"/>
                <w:szCs w:val="22"/>
                <w:shd w:val="clear" w:color="auto" w:fill="FFFFFF"/>
              </w:rPr>
              <w:t>医用耗材送达交收地点后，甲方应按相关规定验收。甲方确认收货后，乙方应及时将发票送达甲方。甲方按院内流程办理发票付款。</w:t>
            </w:r>
          </w:p>
        </w:tc>
        <w:tc>
          <w:tcPr>
            <w:tcW w:w="375" w:type="pct"/>
            <w:vAlign w:val="center"/>
          </w:tcPr>
          <w:p w14:paraId="63CB05C9">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D51807E">
            <w:pPr>
              <w:spacing w:line="360" w:lineRule="auto"/>
              <w:jc w:val="center"/>
              <w:rPr>
                <w:rFonts w:hint="eastAsia" w:ascii="宋体" w:hAnsi="宋体" w:eastAsia="宋体" w:cs="宋体"/>
                <w:color w:val="auto"/>
                <w:kern w:val="2"/>
                <w:sz w:val="22"/>
                <w:szCs w:val="22"/>
                <w:highlight w:val="none"/>
              </w:rPr>
            </w:pPr>
          </w:p>
        </w:tc>
      </w:tr>
      <w:tr w14:paraId="4DB6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60F72776">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3808" w:type="pct"/>
            <w:vAlign w:val="center"/>
          </w:tcPr>
          <w:p w14:paraId="60832CD6">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000000"/>
                <w:sz w:val="22"/>
                <w:szCs w:val="22"/>
                <w:shd w:val="clear" w:color="auto" w:fill="FFFFFF"/>
                <w:lang w:val="en-US" w:eastAsia="zh-CN"/>
              </w:rPr>
              <w:t>4.2.4</w:t>
            </w:r>
            <w:r>
              <w:rPr>
                <w:rFonts w:hint="eastAsia" w:ascii="宋体" w:hAnsi="宋体" w:eastAsia="宋体" w:cs="宋体"/>
                <w:color w:val="000000"/>
                <w:sz w:val="22"/>
                <w:szCs w:val="22"/>
                <w:shd w:val="clear" w:color="auto" w:fill="FFFFFF"/>
              </w:rPr>
              <w:t>结算时间：甲方在收到合法发票之日起最迟不得超过6个月进行交易价款结算</w:t>
            </w:r>
          </w:p>
        </w:tc>
        <w:tc>
          <w:tcPr>
            <w:tcW w:w="375" w:type="pct"/>
            <w:vAlign w:val="center"/>
          </w:tcPr>
          <w:p w14:paraId="74480D49">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722145B7">
            <w:pPr>
              <w:spacing w:line="360" w:lineRule="auto"/>
              <w:jc w:val="center"/>
              <w:rPr>
                <w:rFonts w:hint="eastAsia" w:ascii="宋体" w:hAnsi="宋体" w:eastAsia="宋体" w:cs="宋体"/>
                <w:color w:val="auto"/>
                <w:kern w:val="2"/>
                <w:sz w:val="22"/>
                <w:szCs w:val="22"/>
                <w:highlight w:val="none"/>
              </w:rPr>
            </w:pPr>
          </w:p>
        </w:tc>
      </w:tr>
      <w:tr w14:paraId="0774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40E65168">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11</w:t>
            </w:r>
          </w:p>
        </w:tc>
        <w:tc>
          <w:tcPr>
            <w:tcW w:w="3808" w:type="pct"/>
            <w:vAlign w:val="center"/>
          </w:tcPr>
          <w:p w14:paraId="03CFDC02">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6.验收要求：</w:t>
            </w:r>
          </w:p>
          <w:p w14:paraId="16A0D3D3">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6.1验收方式：由采购人组织的项目验收小组进行验收。</w:t>
            </w:r>
          </w:p>
        </w:tc>
        <w:tc>
          <w:tcPr>
            <w:tcW w:w="375" w:type="pct"/>
            <w:vAlign w:val="center"/>
          </w:tcPr>
          <w:p w14:paraId="6FA7784B">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151AB122">
            <w:pPr>
              <w:spacing w:line="360" w:lineRule="auto"/>
              <w:jc w:val="center"/>
              <w:rPr>
                <w:rFonts w:hint="eastAsia" w:ascii="宋体" w:hAnsi="宋体" w:eastAsia="宋体" w:cs="宋体"/>
                <w:color w:val="auto"/>
                <w:kern w:val="2"/>
                <w:sz w:val="22"/>
                <w:szCs w:val="22"/>
                <w:highlight w:val="none"/>
              </w:rPr>
            </w:pPr>
          </w:p>
        </w:tc>
      </w:tr>
      <w:tr w14:paraId="1065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68A280F6">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3808" w:type="pct"/>
            <w:vAlign w:val="center"/>
          </w:tcPr>
          <w:p w14:paraId="31D8AD9E">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6.2验收程序、验收时间、验收内容：中选人将所供产品运送至交货地点，采购人、中选人双方共同拆箱，中选人根据租赁合同产品安装调试完成并移交所有资料文档后，由采购人负责接收，中选人应向采购人提供全套的材料/检验产品合格证、使用说明书及其它技术资料。产品租赁满一年后，采购人、中选人双方共同签署租赁验收相关资料。</w:t>
            </w:r>
          </w:p>
        </w:tc>
        <w:tc>
          <w:tcPr>
            <w:tcW w:w="375" w:type="pct"/>
            <w:vAlign w:val="center"/>
          </w:tcPr>
          <w:p w14:paraId="58DA0D46">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2649D200">
            <w:pPr>
              <w:spacing w:line="360" w:lineRule="auto"/>
              <w:jc w:val="center"/>
              <w:rPr>
                <w:rFonts w:hint="eastAsia" w:ascii="宋体" w:hAnsi="宋体" w:eastAsia="宋体" w:cs="宋体"/>
                <w:color w:val="auto"/>
                <w:kern w:val="2"/>
                <w:sz w:val="22"/>
                <w:szCs w:val="22"/>
                <w:highlight w:val="none"/>
              </w:rPr>
            </w:pPr>
          </w:p>
        </w:tc>
      </w:tr>
      <w:tr w14:paraId="094D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52D54691">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13</w:t>
            </w:r>
          </w:p>
        </w:tc>
        <w:tc>
          <w:tcPr>
            <w:tcW w:w="3808" w:type="pct"/>
            <w:vAlign w:val="center"/>
          </w:tcPr>
          <w:p w14:paraId="515C0BFB">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6.3验收标准：验收按国家有关的标准规定、规范进行。验收时如发现所租赁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w:t>
            </w:r>
          </w:p>
        </w:tc>
        <w:tc>
          <w:tcPr>
            <w:tcW w:w="375" w:type="pct"/>
            <w:vAlign w:val="center"/>
          </w:tcPr>
          <w:p w14:paraId="226209F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0B2582C6">
            <w:pPr>
              <w:spacing w:line="360" w:lineRule="auto"/>
              <w:jc w:val="center"/>
              <w:rPr>
                <w:rFonts w:hint="eastAsia" w:ascii="宋体" w:hAnsi="宋体" w:eastAsia="宋体" w:cs="宋体"/>
                <w:color w:val="auto"/>
                <w:kern w:val="2"/>
                <w:sz w:val="22"/>
                <w:szCs w:val="22"/>
                <w:highlight w:val="none"/>
              </w:rPr>
            </w:pPr>
          </w:p>
        </w:tc>
      </w:tr>
      <w:tr w14:paraId="18B6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9" w:type="pct"/>
            <w:vAlign w:val="center"/>
          </w:tcPr>
          <w:p w14:paraId="3E387701">
            <w:pPr>
              <w:widowControl w:val="0"/>
              <w:spacing w:line="360" w:lineRule="auto"/>
              <w:ind w:left="170"/>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14</w:t>
            </w:r>
          </w:p>
        </w:tc>
        <w:tc>
          <w:tcPr>
            <w:tcW w:w="3808" w:type="pct"/>
            <w:vAlign w:val="center"/>
          </w:tcPr>
          <w:p w14:paraId="71947DB7">
            <w:pPr>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6.4其他要求：如在租赁过程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tc>
        <w:tc>
          <w:tcPr>
            <w:tcW w:w="375" w:type="pct"/>
            <w:vAlign w:val="center"/>
          </w:tcPr>
          <w:p w14:paraId="203CBC85">
            <w:pPr>
              <w:spacing w:line="360" w:lineRule="auto"/>
              <w:jc w:val="center"/>
              <w:rPr>
                <w:rFonts w:hint="eastAsia" w:ascii="宋体" w:hAnsi="宋体" w:eastAsia="宋体" w:cs="宋体"/>
                <w:color w:val="auto"/>
                <w:kern w:val="2"/>
                <w:sz w:val="22"/>
                <w:szCs w:val="22"/>
                <w:highlight w:val="none"/>
              </w:rPr>
            </w:pPr>
          </w:p>
        </w:tc>
        <w:tc>
          <w:tcPr>
            <w:tcW w:w="407" w:type="pct"/>
            <w:vAlign w:val="center"/>
          </w:tcPr>
          <w:p w14:paraId="30F508A1">
            <w:pPr>
              <w:spacing w:line="360" w:lineRule="auto"/>
              <w:jc w:val="center"/>
              <w:rPr>
                <w:rFonts w:hint="eastAsia" w:ascii="宋体" w:hAnsi="宋体" w:eastAsia="宋体" w:cs="宋体"/>
                <w:color w:val="auto"/>
                <w:kern w:val="2"/>
                <w:sz w:val="22"/>
                <w:szCs w:val="22"/>
                <w:highlight w:val="none"/>
              </w:rPr>
            </w:pP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5A098182">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人名称：（盖章）</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日期：年月日</w:t>
      </w:r>
    </w:p>
    <w:p w14:paraId="4D33B11B">
      <w:pPr>
        <w:pStyle w:val="35"/>
        <w:spacing w:line="240" w:lineRule="auto"/>
        <w:ind w:right="100" w:rightChars="48" w:firstLine="496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cstheme="minorEastAsia"/>
          <w:color w:val="auto"/>
          <w:highlight w:val="none"/>
        </w:rPr>
        <w:br w:type="page"/>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w:t>
      </w:r>
      <w:r>
        <w:rPr>
          <w:rFonts w:hint="eastAsia" w:ascii="Times New Roman" w:hAnsi="Times New Roman"/>
          <w:color w:val="000000"/>
          <w:kern w:val="2"/>
          <w:sz w:val="24"/>
          <w:szCs w:val="24"/>
          <w:highlight w:val="none"/>
          <w:lang w:eastAsia="zh-CN"/>
        </w:rPr>
        <w:t>遴选文件</w:t>
      </w:r>
      <w:r>
        <w:rPr>
          <w:rFonts w:hint="default" w:ascii="Times New Roman" w:hAnsi="Times New Roman"/>
          <w:color w:val="000000"/>
          <w:kern w:val="2"/>
          <w:sz w:val="24"/>
          <w:szCs w:val="24"/>
          <w:highlight w:val="none"/>
          <w:lang w:eastAsia="zh-CN"/>
        </w:rPr>
        <w:t>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w:t>
      </w:r>
      <w:r>
        <w:rPr>
          <w:rFonts w:hint="eastAsia"/>
          <w:color w:val="000000"/>
          <w:sz w:val="24"/>
          <w:highlight w:val="none"/>
          <w:lang w:eastAsia="zh-CN"/>
        </w:rPr>
        <w:t>遴选文件</w:t>
      </w:r>
      <w:r>
        <w:rPr>
          <w:color w:val="000000"/>
          <w:sz w:val="24"/>
          <w:highlight w:val="none"/>
        </w:rPr>
        <w:t>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1004A3A8">
      <w:pPr>
        <w:rPr>
          <w:rFonts w:hint="eastAsia"/>
          <w:highlight w:val="none"/>
        </w:rPr>
      </w:pPr>
    </w:p>
    <w:p w14:paraId="5D543E26">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 w:val="24"/>
          <w:highlight w:val="none"/>
        </w:rPr>
      </w:pPr>
      <w:r>
        <w:rPr>
          <w:color w:val="000000"/>
          <w:sz w:val="24"/>
          <w:highlight w:val="none"/>
        </w:rPr>
        <w:t>响应人名称（盖章）：</w:t>
      </w:r>
    </w:p>
    <w:p w14:paraId="5CF4CCA3">
      <w:pPr>
        <w:widowControl/>
        <w:spacing w:line="480" w:lineRule="exact"/>
        <w:ind w:firstLine="480"/>
        <w:jc w:val="left"/>
        <w:rPr>
          <w:color w:val="000000"/>
          <w:sz w:val="24"/>
          <w:highlight w:val="none"/>
        </w:rPr>
      </w:pPr>
    </w:p>
    <w:p w14:paraId="57ED4FE3">
      <w:pPr>
        <w:widowControl/>
        <w:spacing w:line="480" w:lineRule="exact"/>
        <w:ind w:firstLine="480"/>
        <w:jc w:val="left"/>
        <w:rPr>
          <w:color w:val="000000"/>
          <w:sz w:val="24"/>
          <w:highlight w:val="none"/>
        </w:rPr>
      </w:pPr>
      <w:r>
        <w:rPr>
          <w:color w:val="000000"/>
          <w:sz w:val="24"/>
          <w:highlight w:val="none"/>
        </w:rPr>
        <w:t>法定代表人（或授权代表）签名：</w:t>
      </w:r>
    </w:p>
    <w:p w14:paraId="232AF7C0">
      <w:pPr>
        <w:widowControl/>
        <w:spacing w:line="480" w:lineRule="exact"/>
        <w:ind w:firstLine="480"/>
        <w:jc w:val="left"/>
        <w:rPr>
          <w:color w:val="000000"/>
          <w:sz w:val="24"/>
          <w:highlight w:val="none"/>
        </w:rPr>
      </w:pPr>
    </w:p>
    <w:p w14:paraId="29FFA6CC">
      <w:pPr>
        <w:widowControl/>
        <w:spacing w:line="480" w:lineRule="exact"/>
        <w:ind w:firstLine="480"/>
        <w:jc w:val="left"/>
        <w:rPr>
          <w:color w:val="000000"/>
          <w:sz w:val="24"/>
          <w:highlight w:val="none"/>
        </w:rPr>
      </w:pPr>
      <w:r>
        <w:rPr>
          <w:color w:val="000000"/>
          <w:sz w:val="24"/>
          <w:highlight w:val="none"/>
        </w:rPr>
        <w:t>日期：年月日</w:t>
      </w:r>
    </w:p>
    <w:p w14:paraId="5464C564">
      <w:pPr>
        <w:widowControl/>
        <w:spacing w:line="480" w:lineRule="exact"/>
        <w:ind w:firstLine="480"/>
        <w:jc w:val="left"/>
        <w:rPr>
          <w:color w:val="000000"/>
          <w:sz w:val="24"/>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A126C47">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embedRegular r:id="rId1" w:fontKey="{C8BB3851-E36E-450D-9602-828A6E9C0F4C}"/>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DECB35B2-4EAF-435A-8BD2-304255AD4406}"/>
  </w:font>
  <w:font w:name="Tahoma">
    <w:panose1 w:val="020B0604030504040204"/>
    <w:charset w:val="00"/>
    <w:family w:val="swiss"/>
    <w:pitch w:val="default"/>
    <w:sig w:usb0="E1002EFF" w:usb1="C000605B" w:usb2="00000029" w:usb3="00000000" w:csb0="200101FF" w:csb1="20280000"/>
    <w:embedRegular r:id="rId3" w:fontKey="{9F35DD0B-3CD5-4C15-84F0-7D2B7481AC48}"/>
  </w:font>
  <w:font w:name="仿宋">
    <w:panose1 w:val="02010609060101010101"/>
    <w:charset w:val="86"/>
    <w:family w:val="auto"/>
    <w:pitch w:val="default"/>
    <w:sig w:usb0="800002BF" w:usb1="38CF7CFA" w:usb2="00000016" w:usb3="00000000" w:csb0="00040001" w:csb1="00000000"/>
    <w:embedRegular r:id="rId4" w:fontKey="{C26E9238-77EB-4A44-9E06-F6713969A71F}"/>
  </w:font>
  <w:font w:name="仿宋_GB2312">
    <w:altName w:val="仿宋"/>
    <w:panose1 w:val="00000000000000000000"/>
    <w:charset w:val="86"/>
    <w:family w:val="modern"/>
    <w:pitch w:val="default"/>
    <w:sig w:usb0="00000000" w:usb1="00000000" w:usb2="00000010" w:usb3="00000000" w:csb0="00040000" w:csb1="00000000"/>
    <w:embedRegular r:id="rId5" w:fontKey="{0EF2A7B6-8A97-44BE-91F9-07A9407C3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5FD01D0C"/>
    <w:multiLevelType w:val="singleLevel"/>
    <w:tmpl w:val="5FD01D0C"/>
    <w:lvl w:ilvl="0" w:tentative="0">
      <w:start w:val="1"/>
      <w:numFmt w:val="chineseCounting"/>
      <w:suff w:val="nothing"/>
      <w:lvlText w:val="%1、"/>
      <w:lvlJc w:val="left"/>
      <w:rPr>
        <w:rFonts w:hint="eastAsia"/>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1830A1"/>
    <w:rsid w:val="05415DAA"/>
    <w:rsid w:val="059B12C3"/>
    <w:rsid w:val="05A037E6"/>
    <w:rsid w:val="06070569"/>
    <w:rsid w:val="06345E06"/>
    <w:rsid w:val="064F6E71"/>
    <w:rsid w:val="0654635C"/>
    <w:rsid w:val="06783553"/>
    <w:rsid w:val="06AD62E4"/>
    <w:rsid w:val="07A11C91"/>
    <w:rsid w:val="07B36F67"/>
    <w:rsid w:val="07FB0F3B"/>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AED4B0C"/>
    <w:rsid w:val="0B077F8D"/>
    <w:rsid w:val="0B3B7316"/>
    <w:rsid w:val="0BE7210F"/>
    <w:rsid w:val="0C4F369E"/>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04560C"/>
    <w:rsid w:val="10105367"/>
    <w:rsid w:val="10194349"/>
    <w:rsid w:val="101E3440"/>
    <w:rsid w:val="10473C8D"/>
    <w:rsid w:val="105C411B"/>
    <w:rsid w:val="11763118"/>
    <w:rsid w:val="119726EB"/>
    <w:rsid w:val="11973186"/>
    <w:rsid w:val="11AD2023"/>
    <w:rsid w:val="120F351E"/>
    <w:rsid w:val="122F22A3"/>
    <w:rsid w:val="1233690D"/>
    <w:rsid w:val="1248598C"/>
    <w:rsid w:val="126C0948"/>
    <w:rsid w:val="12926EFA"/>
    <w:rsid w:val="12B66D8B"/>
    <w:rsid w:val="12DD7FB1"/>
    <w:rsid w:val="13065F6D"/>
    <w:rsid w:val="131807C2"/>
    <w:rsid w:val="133032AB"/>
    <w:rsid w:val="1335117B"/>
    <w:rsid w:val="13731CA7"/>
    <w:rsid w:val="13946135"/>
    <w:rsid w:val="139E4104"/>
    <w:rsid w:val="13C06683"/>
    <w:rsid w:val="13C46CE8"/>
    <w:rsid w:val="13CD3690"/>
    <w:rsid w:val="13F66FF5"/>
    <w:rsid w:val="14056C5F"/>
    <w:rsid w:val="14147066"/>
    <w:rsid w:val="141B4D12"/>
    <w:rsid w:val="14847063"/>
    <w:rsid w:val="14A34167"/>
    <w:rsid w:val="14A64DE1"/>
    <w:rsid w:val="14BC4BF2"/>
    <w:rsid w:val="14CB0249"/>
    <w:rsid w:val="14CB1683"/>
    <w:rsid w:val="14CF6317"/>
    <w:rsid w:val="14DA6DD5"/>
    <w:rsid w:val="14E951B7"/>
    <w:rsid w:val="14F415B7"/>
    <w:rsid w:val="151C5F27"/>
    <w:rsid w:val="15254E58"/>
    <w:rsid w:val="155410C2"/>
    <w:rsid w:val="155E1C7E"/>
    <w:rsid w:val="156D5B46"/>
    <w:rsid w:val="15AD05C9"/>
    <w:rsid w:val="16225C7A"/>
    <w:rsid w:val="164134C1"/>
    <w:rsid w:val="169A7E93"/>
    <w:rsid w:val="16A06855"/>
    <w:rsid w:val="16B50547"/>
    <w:rsid w:val="16DB6C70"/>
    <w:rsid w:val="171B7169"/>
    <w:rsid w:val="173F7E2B"/>
    <w:rsid w:val="17A90CD9"/>
    <w:rsid w:val="17C52DCA"/>
    <w:rsid w:val="17F8087D"/>
    <w:rsid w:val="180715CC"/>
    <w:rsid w:val="180C6E5D"/>
    <w:rsid w:val="1810078A"/>
    <w:rsid w:val="181D2269"/>
    <w:rsid w:val="186075D6"/>
    <w:rsid w:val="1864257A"/>
    <w:rsid w:val="1876405C"/>
    <w:rsid w:val="18DC33FE"/>
    <w:rsid w:val="18FC5C71"/>
    <w:rsid w:val="190E5A1C"/>
    <w:rsid w:val="19150DE7"/>
    <w:rsid w:val="19163892"/>
    <w:rsid w:val="193679FA"/>
    <w:rsid w:val="193D4365"/>
    <w:rsid w:val="1972102C"/>
    <w:rsid w:val="19730A26"/>
    <w:rsid w:val="1977008B"/>
    <w:rsid w:val="199839CC"/>
    <w:rsid w:val="19B56EAA"/>
    <w:rsid w:val="19BC1F42"/>
    <w:rsid w:val="1A0F6C37"/>
    <w:rsid w:val="1A361CF4"/>
    <w:rsid w:val="1A3F2338"/>
    <w:rsid w:val="1A4F1E3F"/>
    <w:rsid w:val="1A9D7B4F"/>
    <w:rsid w:val="1AA73D43"/>
    <w:rsid w:val="1AB70828"/>
    <w:rsid w:val="1AF2145B"/>
    <w:rsid w:val="1B2750C0"/>
    <w:rsid w:val="1B2C6C04"/>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BF776C"/>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475F33"/>
    <w:rsid w:val="21580905"/>
    <w:rsid w:val="21EB6227"/>
    <w:rsid w:val="22450DA6"/>
    <w:rsid w:val="228D7EAD"/>
    <w:rsid w:val="22BB6BAD"/>
    <w:rsid w:val="23065E2F"/>
    <w:rsid w:val="230D3FCA"/>
    <w:rsid w:val="231030DA"/>
    <w:rsid w:val="23294316"/>
    <w:rsid w:val="23501E59"/>
    <w:rsid w:val="239548FA"/>
    <w:rsid w:val="23B945D3"/>
    <w:rsid w:val="23C034FC"/>
    <w:rsid w:val="23C93DE0"/>
    <w:rsid w:val="24160FEF"/>
    <w:rsid w:val="244F1137"/>
    <w:rsid w:val="2463483B"/>
    <w:rsid w:val="247F38D4"/>
    <w:rsid w:val="24AE4EC9"/>
    <w:rsid w:val="24E11EBE"/>
    <w:rsid w:val="24E66811"/>
    <w:rsid w:val="25054BD9"/>
    <w:rsid w:val="250F3FB0"/>
    <w:rsid w:val="253357AE"/>
    <w:rsid w:val="25611458"/>
    <w:rsid w:val="25816F63"/>
    <w:rsid w:val="2588078D"/>
    <w:rsid w:val="25C2328F"/>
    <w:rsid w:val="25CC0B6B"/>
    <w:rsid w:val="25DB120B"/>
    <w:rsid w:val="25DC73B6"/>
    <w:rsid w:val="2617508F"/>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2C65B1"/>
    <w:rsid w:val="2A314658"/>
    <w:rsid w:val="2A382B95"/>
    <w:rsid w:val="2A7F2E91"/>
    <w:rsid w:val="2A8266C2"/>
    <w:rsid w:val="2AC35C5A"/>
    <w:rsid w:val="2AE0038E"/>
    <w:rsid w:val="2AF163EF"/>
    <w:rsid w:val="2AFE4AA5"/>
    <w:rsid w:val="2B0611F2"/>
    <w:rsid w:val="2BAD4394"/>
    <w:rsid w:val="2C0D7F3B"/>
    <w:rsid w:val="2C265224"/>
    <w:rsid w:val="2C2B4F37"/>
    <w:rsid w:val="2C376C2F"/>
    <w:rsid w:val="2C5B122C"/>
    <w:rsid w:val="2CA814B4"/>
    <w:rsid w:val="2D7F1A29"/>
    <w:rsid w:val="2DA74F35"/>
    <w:rsid w:val="2DD07B0B"/>
    <w:rsid w:val="2E493F85"/>
    <w:rsid w:val="2E6402CC"/>
    <w:rsid w:val="2E65537E"/>
    <w:rsid w:val="2EA46F2C"/>
    <w:rsid w:val="2EC86DBC"/>
    <w:rsid w:val="2EFF6701"/>
    <w:rsid w:val="2F1F122A"/>
    <w:rsid w:val="2F215FF3"/>
    <w:rsid w:val="2F2A6D24"/>
    <w:rsid w:val="2F862C22"/>
    <w:rsid w:val="2F87458E"/>
    <w:rsid w:val="2F8E0D2B"/>
    <w:rsid w:val="2FE847F6"/>
    <w:rsid w:val="304932B5"/>
    <w:rsid w:val="30540A12"/>
    <w:rsid w:val="306C4391"/>
    <w:rsid w:val="30832B3B"/>
    <w:rsid w:val="309C75DC"/>
    <w:rsid w:val="30C7600D"/>
    <w:rsid w:val="30D3701B"/>
    <w:rsid w:val="30E90739"/>
    <w:rsid w:val="311324BC"/>
    <w:rsid w:val="31293AA7"/>
    <w:rsid w:val="314E4A9B"/>
    <w:rsid w:val="31672DFC"/>
    <w:rsid w:val="318B0193"/>
    <w:rsid w:val="318B7B2F"/>
    <w:rsid w:val="31D922EB"/>
    <w:rsid w:val="320F2EF1"/>
    <w:rsid w:val="32292413"/>
    <w:rsid w:val="3292037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BC3084"/>
    <w:rsid w:val="35C12A64"/>
    <w:rsid w:val="35EB449F"/>
    <w:rsid w:val="35EF616F"/>
    <w:rsid w:val="362A1F41"/>
    <w:rsid w:val="3634544E"/>
    <w:rsid w:val="363D1E86"/>
    <w:rsid w:val="364439E4"/>
    <w:rsid w:val="365C0F5E"/>
    <w:rsid w:val="367478B5"/>
    <w:rsid w:val="3679148F"/>
    <w:rsid w:val="36AF18A3"/>
    <w:rsid w:val="36C16F69"/>
    <w:rsid w:val="373A365F"/>
    <w:rsid w:val="37536184"/>
    <w:rsid w:val="37B426A3"/>
    <w:rsid w:val="37FC25E8"/>
    <w:rsid w:val="38074287"/>
    <w:rsid w:val="381D0162"/>
    <w:rsid w:val="383A72A1"/>
    <w:rsid w:val="38A47258"/>
    <w:rsid w:val="38AD3B89"/>
    <w:rsid w:val="39210D1B"/>
    <w:rsid w:val="395835DE"/>
    <w:rsid w:val="39706F1A"/>
    <w:rsid w:val="397D4B67"/>
    <w:rsid w:val="398654C1"/>
    <w:rsid w:val="39D249D2"/>
    <w:rsid w:val="3A0604FB"/>
    <w:rsid w:val="3A1470F9"/>
    <w:rsid w:val="3ABC4E9A"/>
    <w:rsid w:val="3AC16F61"/>
    <w:rsid w:val="3ACD7016"/>
    <w:rsid w:val="3B1629BB"/>
    <w:rsid w:val="3B19704C"/>
    <w:rsid w:val="3B320CD0"/>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96362A"/>
    <w:rsid w:val="3F9A748B"/>
    <w:rsid w:val="3FBD0BAE"/>
    <w:rsid w:val="3FD50418"/>
    <w:rsid w:val="3FF62ABE"/>
    <w:rsid w:val="403F6094"/>
    <w:rsid w:val="40884DD4"/>
    <w:rsid w:val="41232143"/>
    <w:rsid w:val="41357C9D"/>
    <w:rsid w:val="41384034"/>
    <w:rsid w:val="415B1EBD"/>
    <w:rsid w:val="41F45E6E"/>
    <w:rsid w:val="41FB38E8"/>
    <w:rsid w:val="42184B9F"/>
    <w:rsid w:val="421D7F4B"/>
    <w:rsid w:val="42717540"/>
    <w:rsid w:val="42894042"/>
    <w:rsid w:val="42CB76A9"/>
    <w:rsid w:val="42D431E1"/>
    <w:rsid w:val="42F629C9"/>
    <w:rsid w:val="43126B92"/>
    <w:rsid w:val="434D7F2B"/>
    <w:rsid w:val="437316E5"/>
    <w:rsid w:val="43780E57"/>
    <w:rsid w:val="43830078"/>
    <w:rsid w:val="43C91598"/>
    <w:rsid w:val="43DD4B86"/>
    <w:rsid w:val="444706C2"/>
    <w:rsid w:val="445B3FBA"/>
    <w:rsid w:val="447B2DE3"/>
    <w:rsid w:val="44B60B15"/>
    <w:rsid w:val="44B96FF5"/>
    <w:rsid w:val="45152CF7"/>
    <w:rsid w:val="451D6A30"/>
    <w:rsid w:val="45350C77"/>
    <w:rsid w:val="46366B4D"/>
    <w:rsid w:val="466225D9"/>
    <w:rsid w:val="46674A02"/>
    <w:rsid w:val="46792BEA"/>
    <w:rsid w:val="46DF78FC"/>
    <w:rsid w:val="471E284C"/>
    <w:rsid w:val="477E75DC"/>
    <w:rsid w:val="478265E6"/>
    <w:rsid w:val="479223B1"/>
    <w:rsid w:val="479613BE"/>
    <w:rsid w:val="47B65380"/>
    <w:rsid w:val="47F92762"/>
    <w:rsid w:val="480C6CE1"/>
    <w:rsid w:val="486440DC"/>
    <w:rsid w:val="48824A73"/>
    <w:rsid w:val="4883477C"/>
    <w:rsid w:val="49160E35"/>
    <w:rsid w:val="491A11EF"/>
    <w:rsid w:val="49230C0F"/>
    <w:rsid w:val="498C2647"/>
    <w:rsid w:val="49FB78F0"/>
    <w:rsid w:val="4A0F5F3A"/>
    <w:rsid w:val="4A265E69"/>
    <w:rsid w:val="4A2A1CE5"/>
    <w:rsid w:val="4A454E53"/>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0D39DF"/>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1F47298"/>
    <w:rsid w:val="52577A0A"/>
    <w:rsid w:val="52703326"/>
    <w:rsid w:val="528079D5"/>
    <w:rsid w:val="52AB1BDC"/>
    <w:rsid w:val="52C2229C"/>
    <w:rsid w:val="52D91B65"/>
    <w:rsid w:val="531D551D"/>
    <w:rsid w:val="533015C4"/>
    <w:rsid w:val="534D53DE"/>
    <w:rsid w:val="535C52E6"/>
    <w:rsid w:val="537137C2"/>
    <w:rsid w:val="53803128"/>
    <w:rsid w:val="53A85FDD"/>
    <w:rsid w:val="53C64393"/>
    <w:rsid w:val="545509EE"/>
    <w:rsid w:val="54767E7A"/>
    <w:rsid w:val="54E978DB"/>
    <w:rsid w:val="54FF433E"/>
    <w:rsid w:val="55513BBF"/>
    <w:rsid w:val="556C7EFE"/>
    <w:rsid w:val="55F3226C"/>
    <w:rsid w:val="56292694"/>
    <w:rsid w:val="56457A9E"/>
    <w:rsid w:val="56B22C1E"/>
    <w:rsid w:val="56C810A5"/>
    <w:rsid w:val="56E973C7"/>
    <w:rsid w:val="57031B32"/>
    <w:rsid w:val="573F761C"/>
    <w:rsid w:val="574657B9"/>
    <w:rsid w:val="578F619E"/>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9B0E4B"/>
    <w:rsid w:val="5BEE75D9"/>
    <w:rsid w:val="5BF42158"/>
    <w:rsid w:val="5C013996"/>
    <w:rsid w:val="5C2C01DC"/>
    <w:rsid w:val="5C3942BD"/>
    <w:rsid w:val="5C5411D8"/>
    <w:rsid w:val="5CF74222"/>
    <w:rsid w:val="5D1D5C03"/>
    <w:rsid w:val="5D337249"/>
    <w:rsid w:val="5D530FE7"/>
    <w:rsid w:val="5D87651F"/>
    <w:rsid w:val="5DBF146B"/>
    <w:rsid w:val="5E0F60B1"/>
    <w:rsid w:val="5E1F0056"/>
    <w:rsid w:val="5E7D786B"/>
    <w:rsid w:val="5E9A60E7"/>
    <w:rsid w:val="5E9D755E"/>
    <w:rsid w:val="5EBA003B"/>
    <w:rsid w:val="5EE66482"/>
    <w:rsid w:val="5FB82473"/>
    <w:rsid w:val="5FF516A8"/>
    <w:rsid w:val="602E3B95"/>
    <w:rsid w:val="604A6791"/>
    <w:rsid w:val="604D387D"/>
    <w:rsid w:val="605B59B8"/>
    <w:rsid w:val="605E718A"/>
    <w:rsid w:val="60952414"/>
    <w:rsid w:val="60C253EF"/>
    <w:rsid w:val="60D80F17"/>
    <w:rsid w:val="60D84475"/>
    <w:rsid w:val="60EC39AD"/>
    <w:rsid w:val="60EE114C"/>
    <w:rsid w:val="61564461"/>
    <w:rsid w:val="615A5359"/>
    <w:rsid w:val="619B0AFB"/>
    <w:rsid w:val="61DD4664"/>
    <w:rsid w:val="61E11E81"/>
    <w:rsid w:val="62410803"/>
    <w:rsid w:val="62977B3F"/>
    <w:rsid w:val="62B561CE"/>
    <w:rsid w:val="62C1183B"/>
    <w:rsid w:val="62C53944"/>
    <w:rsid w:val="63935E5F"/>
    <w:rsid w:val="63AD64A6"/>
    <w:rsid w:val="647519F7"/>
    <w:rsid w:val="648D6F4F"/>
    <w:rsid w:val="64A337EB"/>
    <w:rsid w:val="64D511EA"/>
    <w:rsid w:val="64F93374"/>
    <w:rsid w:val="65007483"/>
    <w:rsid w:val="65012EF0"/>
    <w:rsid w:val="652341F0"/>
    <w:rsid w:val="65343016"/>
    <w:rsid w:val="654215C6"/>
    <w:rsid w:val="65E44122"/>
    <w:rsid w:val="65F17C26"/>
    <w:rsid w:val="669B2BD8"/>
    <w:rsid w:val="67456B1F"/>
    <w:rsid w:val="675370B0"/>
    <w:rsid w:val="67555994"/>
    <w:rsid w:val="679B3E58"/>
    <w:rsid w:val="67A624E1"/>
    <w:rsid w:val="67E124EF"/>
    <w:rsid w:val="68226DDF"/>
    <w:rsid w:val="6836628F"/>
    <w:rsid w:val="68546788"/>
    <w:rsid w:val="68625406"/>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B22BCA"/>
    <w:rsid w:val="6EC84708"/>
    <w:rsid w:val="6F1572A0"/>
    <w:rsid w:val="6F3911E0"/>
    <w:rsid w:val="6FA55A7E"/>
    <w:rsid w:val="6FA74FF3"/>
    <w:rsid w:val="6FBD6F8D"/>
    <w:rsid w:val="6FD24C25"/>
    <w:rsid w:val="6FF05465"/>
    <w:rsid w:val="6FF41232"/>
    <w:rsid w:val="6FF92EFA"/>
    <w:rsid w:val="7048642E"/>
    <w:rsid w:val="70675C74"/>
    <w:rsid w:val="70741DA4"/>
    <w:rsid w:val="70B622DA"/>
    <w:rsid w:val="70C816C5"/>
    <w:rsid w:val="70D1632C"/>
    <w:rsid w:val="70DF707F"/>
    <w:rsid w:val="715E167E"/>
    <w:rsid w:val="718D136F"/>
    <w:rsid w:val="71B53214"/>
    <w:rsid w:val="71C97B84"/>
    <w:rsid w:val="72117F55"/>
    <w:rsid w:val="72533FE0"/>
    <w:rsid w:val="727A0BE5"/>
    <w:rsid w:val="72C23C67"/>
    <w:rsid w:val="73335F46"/>
    <w:rsid w:val="737B724B"/>
    <w:rsid w:val="737E3665"/>
    <w:rsid w:val="73804649"/>
    <w:rsid w:val="73E32199"/>
    <w:rsid w:val="7418624A"/>
    <w:rsid w:val="741C1A4E"/>
    <w:rsid w:val="749649DF"/>
    <w:rsid w:val="74A91A49"/>
    <w:rsid w:val="74A9247D"/>
    <w:rsid w:val="75166107"/>
    <w:rsid w:val="752E4D12"/>
    <w:rsid w:val="75361222"/>
    <w:rsid w:val="754356EA"/>
    <w:rsid w:val="755954E2"/>
    <w:rsid w:val="7575776E"/>
    <w:rsid w:val="757A60AE"/>
    <w:rsid w:val="75B415C0"/>
    <w:rsid w:val="75C103EF"/>
    <w:rsid w:val="75E15C9A"/>
    <w:rsid w:val="75E2704E"/>
    <w:rsid w:val="75F431FF"/>
    <w:rsid w:val="760C4FC0"/>
    <w:rsid w:val="764D77F8"/>
    <w:rsid w:val="766D10AA"/>
    <w:rsid w:val="767605BC"/>
    <w:rsid w:val="76D70A6A"/>
    <w:rsid w:val="77216F4A"/>
    <w:rsid w:val="7725049C"/>
    <w:rsid w:val="774748A0"/>
    <w:rsid w:val="774B06EA"/>
    <w:rsid w:val="775B1491"/>
    <w:rsid w:val="77A95037"/>
    <w:rsid w:val="77D446F7"/>
    <w:rsid w:val="77DE1B76"/>
    <w:rsid w:val="780B759D"/>
    <w:rsid w:val="781522C4"/>
    <w:rsid w:val="782D78AE"/>
    <w:rsid w:val="78406D92"/>
    <w:rsid w:val="786101C1"/>
    <w:rsid w:val="786A6017"/>
    <w:rsid w:val="789D5603"/>
    <w:rsid w:val="78C12D83"/>
    <w:rsid w:val="78CF0F6E"/>
    <w:rsid w:val="78E4686E"/>
    <w:rsid w:val="797F6A72"/>
    <w:rsid w:val="798B12FD"/>
    <w:rsid w:val="79A746B3"/>
    <w:rsid w:val="79D614B8"/>
    <w:rsid w:val="7B4E4990"/>
    <w:rsid w:val="7B8049A7"/>
    <w:rsid w:val="7BD30CC7"/>
    <w:rsid w:val="7BD563DA"/>
    <w:rsid w:val="7C6C4FDB"/>
    <w:rsid w:val="7C8F163B"/>
    <w:rsid w:val="7CAA0ADC"/>
    <w:rsid w:val="7D4B2583"/>
    <w:rsid w:val="7D587A9A"/>
    <w:rsid w:val="7DFD696E"/>
    <w:rsid w:val="7E0843C1"/>
    <w:rsid w:val="7E17093E"/>
    <w:rsid w:val="7EA00289"/>
    <w:rsid w:val="7EBB39E6"/>
    <w:rsid w:val="7F012530"/>
    <w:rsid w:val="7F0A7EBE"/>
    <w:rsid w:val="7F477001"/>
    <w:rsid w:val="7FA43DB5"/>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2197</Words>
  <Characters>2230</Characters>
  <Lines>102</Lines>
  <Paragraphs>28</Paragraphs>
  <TotalTime>30</TotalTime>
  <ScaleCrop>false</ScaleCrop>
  <LinksUpToDate>false</LinksUpToDate>
  <CharactersWithSpaces>2230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2026-07-17T08:35:58Z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