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00845">
      <w:pPr>
        <w:widowControl/>
        <w:jc w:val="left"/>
        <w:rPr>
          <w:rFonts w:ascii="仿宋_GB2312" w:eastAsia="仿宋_GB2312" w:cs="宋体" w:hAnsiTheme="minorEastAsia"/>
          <w:b/>
          <w:bCs/>
          <w:color w:val="000000" w:themeColor="text1"/>
          <w:kern w:val="0"/>
          <w:sz w:val="28"/>
          <w:szCs w:val="28"/>
          <w14:textFill>
            <w14:solidFill>
              <w14:schemeClr w14:val="tx1"/>
            </w14:solidFill>
          </w14:textFill>
        </w:rPr>
      </w:pPr>
      <w:r>
        <w:rPr>
          <w:rFonts w:hint="eastAsia" w:ascii="仿宋_GB2312" w:eastAsia="仿宋_GB2312" w:cs="宋体" w:hAnsiTheme="minorEastAsia"/>
          <w:b/>
          <w:bCs/>
          <w:color w:val="000000" w:themeColor="text1"/>
          <w:kern w:val="0"/>
          <w:sz w:val="28"/>
          <w:szCs w:val="28"/>
          <w14:textFill>
            <w14:solidFill>
              <w14:schemeClr w14:val="tx1"/>
            </w14:solidFill>
          </w14:textFill>
        </w:rPr>
        <w:t>附件3：                 采购</w:t>
      </w:r>
      <w:r>
        <w:rPr>
          <w:rFonts w:ascii="仿宋_GB2312" w:eastAsia="仿宋_GB2312" w:cs="宋体" w:hAnsiTheme="minorEastAsia"/>
          <w:b/>
          <w:bCs/>
          <w:color w:val="000000" w:themeColor="text1"/>
          <w:kern w:val="0"/>
          <w:sz w:val="28"/>
          <w:szCs w:val="28"/>
          <w14:textFill>
            <w14:solidFill>
              <w14:schemeClr w14:val="tx1"/>
            </w14:solidFill>
          </w14:textFill>
        </w:rPr>
        <w:t>清单</w:t>
      </w:r>
    </w:p>
    <w:tbl>
      <w:tblPr>
        <w:tblStyle w:val="2"/>
        <w:tblpPr w:leftFromText="180" w:rightFromText="180" w:vertAnchor="text" w:horzAnchor="page" w:tblpX="1611" w:tblpY="289"/>
        <w:tblOverlap w:val="never"/>
        <w:tblW w:w="8703" w:type="dxa"/>
        <w:tblInd w:w="0" w:type="dxa"/>
        <w:tblLayout w:type="fixed"/>
        <w:tblCellMar>
          <w:top w:w="15" w:type="dxa"/>
          <w:left w:w="15" w:type="dxa"/>
          <w:bottom w:w="15" w:type="dxa"/>
          <w:right w:w="15" w:type="dxa"/>
        </w:tblCellMar>
      </w:tblPr>
      <w:tblGrid>
        <w:gridCol w:w="645"/>
        <w:gridCol w:w="1544"/>
        <w:gridCol w:w="1558"/>
        <w:gridCol w:w="844"/>
        <w:gridCol w:w="995"/>
        <w:gridCol w:w="801"/>
        <w:gridCol w:w="968"/>
        <w:gridCol w:w="1348"/>
      </w:tblGrid>
      <w:tr w14:paraId="5F5AF407">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vAlign w:val="center"/>
          </w:tcPr>
          <w:p w14:paraId="77F0806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1544" w:type="dxa"/>
            <w:tcBorders>
              <w:top w:val="single" w:color="000000" w:sz="4" w:space="0"/>
              <w:left w:val="single" w:color="000000" w:sz="4" w:space="0"/>
              <w:bottom w:val="single" w:color="000000" w:sz="4" w:space="0"/>
              <w:right w:val="single" w:color="000000" w:sz="4" w:space="0"/>
            </w:tcBorders>
            <w:vAlign w:val="center"/>
          </w:tcPr>
          <w:p w14:paraId="4E5A52B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名称</w:t>
            </w:r>
          </w:p>
        </w:tc>
        <w:tc>
          <w:tcPr>
            <w:tcW w:w="1558" w:type="dxa"/>
            <w:tcBorders>
              <w:top w:val="single" w:color="000000" w:sz="4" w:space="0"/>
              <w:left w:val="single" w:color="000000" w:sz="4" w:space="0"/>
              <w:bottom w:val="single" w:color="000000" w:sz="4" w:space="0"/>
              <w:right w:val="single" w:color="000000" w:sz="4" w:space="0"/>
            </w:tcBorders>
            <w:vAlign w:val="center"/>
          </w:tcPr>
          <w:p w14:paraId="4E4E9CB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产品描述</w:t>
            </w:r>
          </w:p>
        </w:tc>
        <w:tc>
          <w:tcPr>
            <w:tcW w:w="844" w:type="dxa"/>
            <w:tcBorders>
              <w:top w:val="single" w:color="000000" w:sz="4" w:space="0"/>
              <w:left w:val="single" w:color="000000" w:sz="4" w:space="0"/>
              <w:bottom w:val="single" w:color="000000" w:sz="4" w:space="0"/>
              <w:right w:val="single" w:color="000000" w:sz="4" w:space="0"/>
            </w:tcBorders>
            <w:vAlign w:val="center"/>
          </w:tcPr>
          <w:p w14:paraId="7518C6B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995" w:type="dxa"/>
            <w:tcBorders>
              <w:top w:val="single" w:color="000000" w:sz="4" w:space="0"/>
              <w:left w:val="single" w:color="000000" w:sz="4" w:space="0"/>
              <w:bottom w:val="single" w:color="000000" w:sz="4" w:space="0"/>
              <w:right w:val="single" w:color="000000" w:sz="4" w:space="0"/>
            </w:tcBorders>
            <w:vAlign w:val="center"/>
          </w:tcPr>
          <w:p w14:paraId="46E9AE7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801" w:type="dxa"/>
            <w:tcBorders>
              <w:top w:val="single" w:color="000000" w:sz="4" w:space="0"/>
              <w:left w:val="single" w:color="000000" w:sz="4" w:space="0"/>
              <w:bottom w:val="single" w:color="000000" w:sz="4" w:space="0"/>
              <w:right w:val="single" w:color="000000" w:sz="4" w:space="0"/>
            </w:tcBorders>
            <w:vAlign w:val="center"/>
          </w:tcPr>
          <w:p w14:paraId="3E5DDFA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单价</w:t>
            </w:r>
          </w:p>
        </w:tc>
        <w:tc>
          <w:tcPr>
            <w:tcW w:w="968" w:type="dxa"/>
            <w:tcBorders>
              <w:top w:val="single" w:color="000000" w:sz="4" w:space="0"/>
              <w:left w:val="single" w:color="000000" w:sz="4" w:space="0"/>
              <w:bottom w:val="single" w:color="000000" w:sz="4" w:space="0"/>
              <w:right w:val="single" w:color="000000" w:sz="4" w:space="0"/>
            </w:tcBorders>
            <w:vAlign w:val="center"/>
          </w:tcPr>
          <w:p w14:paraId="38278D3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总价</w:t>
            </w:r>
          </w:p>
        </w:tc>
        <w:tc>
          <w:tcPr>
            <w:tcW w:w="1348" w:type="dxa"/>
            <w:tcBorders>
              <w:top w:val="single" w:color="000000" w:sz="4" w:space="0"/>
              <w:left w:val="single" w:color="000000" w:sz="4" w:space="0"/>
              <w:bottom w:val="single" w:color="000000" w:sz="4" w:space="0"/>
              <w:right w:val="single" w:color="000000" w:sz="4" w:space="0"/>
            </w:tcBorders>
            <w:vAlign w:val="center"/>
          </w:tcPr>
          <w:p w14:paraId="4C4325F5">
            <w:pPr>
              <w:widowControl/>
              <w:jc w:val="center"/>
              <w:textAlignment w:val="center"/>
              <w:rPr>
                <w:rFonts w:ascii="宋体" w:hAnsi="宋体" w:cs="宋体"/>
                <w:color w:val="000000"/>
                <w:sz w:val="18"/>
                <w:szCs w:val="18"/>
              </w:rPr>
            </w:pPr>
            <w:r>
              <w:rPr>
                <w:rFonts w:hint="eastAsia" w:ascii="宋体" w:hAnsi="宋体" w:cs="宋体"/>
                <w:color w:val="000000"/>
                <w:sz w:val="18"/>
                <w:szCs w:val="18"/>
              </w:rPr>
              <w:t>品牌型号</w:t>
            </w:r>
          </w:p>
        </w:tc>
      </w:tr>
      <w:tr w14:paraId="6722D2D6">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vAlign w:val="center"/>
          </w:tcPr>
          <w:p w14:paraId="7FB0087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14:paraId="6CEBB061">
            <w:pPr>
              <w:jc w:val="center"/>
              <w:rPr>
                <w:rFonts w:ascii="宋体" w:hAnsi="宋体" w:cs="宋体"/>
                <w:color w:val="000000"/>
                <w:sz w:val="18"/>
                <w:szCs w:val="18"/>
              </w:rPr>
            </w:pPr>
            <w:r>
              <w:rPr>
                <w:rFonts w:hint="eastAsia" w:ascii="宋体" w:hAnsi="宋体" w:cs="宋体"/>
                <w:color w:val="000000"/>
                <w:sz w:val="18"/>
                <w:szCs w:val="18"/>
              </w:rPr>
              <w:t>高清视频无缝切换矩阵</w:t>
            </w:r>
          </w:p>
        </w:tc>
        <w:tc>
          <w:tcPr>
            <w:tcW w:w="1558" w:type="dxa"/>
            <w:tcBorders>
              <w:top w:val="single" w:color="000000" w:sz="4" w:space="0"/>
              <w:left w:val="single" w:color="000000" w:sz="4" w:space="0"/>
              <w:bottom w:val="single" w:color="000000" w:sz="4" w:space="0"/>
              <w:right w:val="single" w:color="000000" w:sz="4" w:space="0"/>
            </w:tcBorders>
            <w:vAlign w:val="center"/>
          </w:tcPr>
          <w:p w14:paraId="239A9E33">
            <w:pPr>
              <w:jc w:val="center"/>
              <w:rPr>
                <w:rFonts w:ascii="宋体" w:hAnsi="宋体" w:cs="宋体"/>
                <w:color w:val="000000"/>
                <w:sz w:val="18"/>
                <w:szCs w:val="18"/>
              </w:rPr>
            </w:pPr>
            <w:r>
              <w:rPr>
                <w:rFonts w:hint="eastAsia" w:ascii="宋体" w:hAnsi="宋体" w:cs="宋体"/>
                <w:color w:val="000000"/>
                <w:sz w:val="18"/>
                <w:szCs w:val="18"/>
              </w:rPr>
              <w:t>含切换嵌入软件</w:t>
            </w:r>
          </w:p>
        </w:tc>
        <w:tc>
          <w:tcPr>
            <w:tcW w:w="844" w:type="dxa"/>
            <w:tcBorders>
              <w:top w:val="single" w:color="000000" w:sz="4" w:space="0"/>
              <w:left w:val="single" w:color="000000" w:sz="4" w:space="0"/>
              <w:bottom w:val="single" w:color="000000" w:sz="4" w:space="0"/>
              <w:right w:val="single" w:color="000000" w:sz="4" w:space="0"/>
            </w:tcBorders>
            <w:vAlign w:val="center"/>
          </w:tcPr>
          <w:p w14:paraId="57A71B25">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995" w:type="dxa"/>
            <w:tcBorders>
              <w:top w:val="single" w:color="000000" w:sz="4" w:space="0"/>
              <w:left w:val="single" w:color="000000" w:sz="4" w:space="0"/>
              <w:bottom w:val="single" w:color="000000" w:sz="4" w:space="0"/>
              <w:right w:val="single" w:color="000000" w:sz="4" w:space="0"/>
            </w:tcBorders>
            <w:vAlign w:val="center"/>
          </w:tcPr>
          <w:p w14:paraId="2698B46A">
            <w:pPr>
              <w:jc w:val="center"/>
              <w:rPr>
                <w:rFonts w:ascii="宋体" w:hAnsi="宋体" w:cs="宋体"/>
                <w:color w:val="000000"/>
                <w:sz w:val="18"/>
                <w:szCs w:val="18"/>
              </w:rPr>
            </w:pPr>
            <w:r>
              <w:rPr>
                <w:rFonts w:hint="eastAsia" w:ascii="宋体" w:hAnsi="宋体" w:cs="宋体"/>
                <w:color w:val="000000"/>
                <w:sz w:val="18"/>
                <w:szCs w:val="18"/>
              </w:rPr>
              <w:t>套</w:t>
            </w:r>
          </w:p>
        </w:tc>
        <w:tc>
          <w:tcPr>
            <w:tcW w:w="801" w:type="dxa"/>
            <w:tcBorders>
              <w:top w:val="single" w:color="000000" w:sz="4" w:space="0"/>
              <w:left w:val="single" w:color="000000" w:sz="4" w:space="0"/>
              <w:bottom w:val="single" w:color="000000" w:sz="4" w:space="0"/>
              <w:right w:val="single" w:color="000000" w:sz="4" w:space="0"/>
            </w:tcBorders>
            <w:vAlign w:val="center"/>
          </w:tcPr>
          <w:p w14:paraId="277718AA">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665ECC1D">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52C63926">
            <w:pPr>
              <w:widowControl/>
              <w:jc w:val="center"/>
              <w:textAlignment w:val="center"/>
              <w:rPr>
                <w:rFonts w:ascii="宋体" w:hAnsi="宋体" w:cs="宋体"/>
                <w:color w:val="000000"/>
                <w:sz w:val="18"/>
                <w:szCs w:val="18"/>
              </w:rPr>
            </w:pPr>
          </w:p>
        </w:tc>
      </w:tr>
      <w:tr w14:paraId="3BBD2CCB">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vAlign w:val="center"/>
          </w:tcPr>
          <w:p w14:paraId="57CD7FD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14:paraId="379BC281">
            <w:pPr>
              <w:jc w:val="center"/>
              <w:rPr>
                <w:rFonts w:ascii="宋体" w:hAnsi="宋体" w:cs="宋体"/>
                <w:color w:val="000000"/>
                <w:sz w:val="18"/>
                <w:szCs w:val="18"/>
              </w:rPr>
            </w:pPr>
            <w:r>
              <w:rPr>
                <w:rFonts w:hint="eastAsia" w:ascii="宋体" w:hAnsi="宋体" w:cs="宋体"/>
                <w:color w:val="000000"/>
                <w:sz w:val="18"/>
                <w:szCs w:val="18"/>
              </w:rPr>
              <w:t>数字调音台</w:t>
            </w:r>
          </w:p>
        </w:tc>
        <w:tc>
          <w:tcPr>
            <w:tcW w:w="1558" w:type="dxa"/>
            <w:tcBorders>
              <w:top w:val="single" w:color="000000" w:sz="4" w:space="0"/>
              <w:left w:val="single" w:color="000000" w:sz="4" w:space="0"/>
              <w:bottom w:val="single" w:color="000000" w:sz="4" w:space="0"/>
              <w:right w:val="single" w:color="000000" w:sz="4" w:space="0"/>
            </w:tcBorders>
            <w:vAlign w:val="center"/>
          </w:tcPr>
          <w:p w14:paraId="3187D2C4">
            <w:pPr>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c>
          <w:tcPr>
            <w:tcW w:w="844" w:type="dxa"/>
            <w:tcBorders>
              <w:top w:val="single" w:color="000000" w:sz="4" w:space="0"/>
              <w:left w:val="single" w:color="000000" w:sz="4" w:space="0"/>
              <w:bottom w:val="single" w:color="000000" w:sz="4" w:space="0"/>
              <w:right w:val="single" w:color="000000" w:sz="4" w:space="0"/>
            </w:tcBorders>
            <w:vAlign w:val="center"/>
          </w:tcPr>
          <w:p w14:paraId="57665281">
            <w:pPr>
              <w:jc w:val="center"/>
              <w:rPr>
                <w:rFonts w:ascii="宋体" w:hAnsi="宋体" w:cs="宋体"/>
                <w:color w:val="000000"/>
                <w:sz w:val="18"/>
                <w:szCs w:val="18"/>
              </w:rPr>
            </w:pPr>
            <w:r>
              <w:rPr>
                <w:rFonts w:hint="eastAsia" w:ascii="宋体" w:hAnsi="宋体" w:cs="宋体"/>
                <w:color w:val="000000"/>
                <w:sz w:val="18"/>
                <w:szCs w:val="18"/>
              </w:rPr>
              <w:t>1</w:t>
            </w:r>
          </w:p>
        </w:tc>
        <w:tc>
          <w:tcPr>
            <w:tcW w:w="995" w:type="dxa"/>
            <w:tcBorders>
              <w:top w:val="single" w:color="000000" w:sz="4" w:space="0"/>
              <w:left w:val="single" w:color="000000" w:sz="4" w:space="0"/>
              <w:bottom w:val="single" w:color="000000" w:sz="4" w:space="0"/>
              <w:right w:val="single" w:color="000000" w:sz="4" w:space="0"/>
            </w:tcBorders>
            <w:vAlign w:val="center"/>
          </w:tcPr>
          <w:p w14:paraId="4A66085A">
            <w:pPr>
              <w:jc w:val="center"/>
              <w:rPr>
                <w:rFonts w:ascii="宋体" w:hAnsi="宋体" w:cs="宋体"/>
                <w:color w:val="000000"/>
                <w:sz w:val="18"/>
                <w:szCs w:val="18"/>
              </w:rPr>
            </w:pPr>
            <w:r>
              <w:rPr>
                <w:rFonts w:hint="eastAsia" w:ascii="宋体" w:hAnsi="宋体" w:cs="宋体"/>
                <w:color w:val="000000"/>
                <w:sz w:val="18"/>
                <w:szCs w:val="18"/>
              </w:rPr>
              <w:t>台</w:t>
            </w:r>
          </w:p>
        </w:tc>
        <w:tc>
          <w:tcPr>
            <w:tcW w:w="801" w:type="dxa"/>
            <w:tcBorders>
              <w:top w:val="single" w:color="000000" w:sz="4" w:space="0"/>
              <w:left w:val="single" w:color="000000" w:sz="4" w:space="0"/>
              <w:bottom w:val="single" w:color="000000" w:sz="4" w:space="0"/>
              <w:right w:val="single" w:color="000000" w:sz="4" w:space="0"/>
            </w:tcBorders>
            <w:vAlign w:val="center"/>
          </w:tcPr>
          <w:p w14:paraId="02E63305">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54F7FD8C">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7194B5BD">
            <w:pPr>
              <w:widowControl/>
              <w:jc w:val="center"/>
              <w:textAlignment w:val="center"/>
              <w:rPr>
                <w:rFonts w:ascii="宋体" w:hAnsi="宋体" w:cs="宋体"/>
                <w:color w:val="000000"/>
                <w:sz w:val="18"/>
                <w:szCs w:val="18"/>
              </w:rPr>
            </w:pPr>
          </w:p>
        </w:tc>
      </w:tr>
      <w:tr w14:paraId="651F7675">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vAlign w:val="center"/>
          </w:tcPr>
          <w:p w14:paraId="5FBD86B5">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14:paraId="6627E41C">
            <w:pPr>
              <w:jc w:val="center"/>
              <w:rPr>
                <w:rFonts w:ascii="宋体" w:hAnsi="宋体" w:cs="宋体"/>
                <w:color w:val="000000"/>
                <w:sz w:val="18"/>
                <w:szCs w:val="18"/>
              </w:rPr>
            </w:pPr>
            <w:r>
              <w:rPr>
                <w:rFonts w:hint="eastAsia" w:ascii="宋体" w:hAnsi="宋体" w:cs="宋体"/>
                <w:color w:val="000000"/>
                <w:sz w:val="18"/>
                <w:szCs w:val="18"/>
              </w:rPr>
              <w:t>AI音频处理器</w:t>
            </w:r>
          </w:p>
        </w:tc>
        <w:tc>
          <w:tcPr>
            <w:tcW w:w="1558" w:type="dxa"/>
            <w:tcBorders>
              <w:top w:val="single" w:color="000000" w:sz="4" w:space="0"/>
              <w:left w:val="single" w:color="000000" w:sz="4" w:space="0"/>
              <w:bottom w:val="single" w:color="000000" w:sz="4" w:space="0"/>
              <w:right w:val="single" w:color="000000" w:sz="4" w:space="0"/>
            </w:tcBorders>
            <w:vAlign w:val="center"/>
          </w:tcPr>
          <w:p w14:paraId="3683C122">
            <w:pPr>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p>
        </w:tc>
        <w:tc>
          <w:tcPr>
            <w:tcW w:w="844" w:type="dxa"/>
            <w:tcBorders>
              <w:top w:val="single" w:color="000000" w:sz="4" w:space="0"/>
              <w:left w:val="single" w:color="000000" w:sz="4" w:space="0"/>
              <w:bottom w:val="single" w:color="000000" w:sz="4" w:space="0"/>
              <w:right w:val="single" w:color="000000" w:sz="4" w:space="0"/>
            </w:tcBorders>
            <w:vAlign w:val="center"/>
          </w:tcPr>
          <w:p w14:paraId="039286B3">
            <w:pPr>
              <w:jc w:val="center"/>
              <w:rPr>
                <w:rFonts w:ascii="宋体" w:hAnsi="宋体" w:cs="宋体"/>
                <w:color w:val="000000"/>
                <w:sz w:val="18"/>
                <w:szCs w:val="18"/>
              </w:rPr>
            </w:pPr>
            <w:r>
              <w:rPr>
                <w:rFonts w:hint="eastAsia" w:ascii="宋体" w:hAnsi="宋体" w:cs="宋体"/>
                <w:color w:val="000000"/>
                <w:sz w:val="18"/>
                <w:szCs w:val="18"/>
              </w:rPr>
              <w:t>1</w:t>
            </w:r>
          </w:p>
        </w:tc>
        <w:tc>
          <w:tcPr>
            <w:tcW w:w="995" w:type="dxa"/>
            <w:tcBorders>
              <w:top w:val="single" w:color="000000" w:sz="4" w:space="0"/>
              <w:left w:val="single" w:color="000000" w:sz="4" w:space="0"/>
              <w:bottom w:val="single" w:color="000000" w:sz="4" w:space="0"/>
              <w:right w:val="single" w:color="000000" w:sz="4" w:space="0"/>
            </w:tcBorders>
            <w:vAlign w:val="center"/>
          </w:tcPr>
          <w:p w14:paraId="40A01643">
            <w:pPr>
              <w:jc w:val="center"/>
              <w:rPr>
                <w:rFonts w:ascii="宋体" w:hAnsi="宋体" w:cs="宋体"/>
                <w:color w:val="000000"/>
                <w:sz w:val="18"/>
                <w:szCs w:val="18"/>
              </w:rPr>
            </w:pPr>
            <w:r>
              <w:rPr>
                <w:rFonts w:hint="eastAsia" w:ascii="宋体" w:hAnsi="宋体" w:cs="宋体"/>
                <w:color w:val="000000"/>
                <w:sz w:val="18"/>
                <w:szCs w:val="18"/>
              </w:rPr>
              <w:t>台</w:t>
            </w:r>
          </w:p>
        </w:tc>
        <w:tc>
          <w:tcPr>
            <w:tcW w:w="801" w:type="dxa"/>
            <w:tcBorders>
              <w:top w:val="single" w:color="000000" w:sz="4" w:space="0"/>
              <w:left w:val="single" w:color="000000" w:sz="4" w:space="0"/>
              <w:bottom w:val="single" w:color="000000" w:sz="4" w:space="0"/>
              <w:right w:val="single" w:color="000000" w:sz="4" w:space="0"/>
            </w:tcBorders>
            <w:vAlign w:val="center"/>
          </w:tcPr>
          <w:p w14:paraId="5D796FC2">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4A68EFBE">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1D814375">
            <w:pPr>
              <w:jc w:val="center"/>
              <w:rPr>
                <w:rFonts w:ascii="宋体" w:hAnsi="宋体" w:cs="宋体"/>
                <w:color w:val="000000"/>
                <w:sz w:val="18"/>
                <w:szCs w:val="18"/>
              </w:rPr>
            </w:pPr>
          </w:p>
        </w:tc>
      </w:tr>
      <w:tr w14:paraId="2ECC95F8">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vAlign w:val="center"/>
          </w:tcPr>
          <w:p w14:paraId="3EF7CA7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544" w:type="dxa"/>
            <w:tcBorders>
              <w:top w:val="single" w:color="000000" w:sz="4" w:space="0"/>
              <w:left w:val="single" w:color="000000" w:sz="4" w:space="0"/>
              <w:bottom w:val="single" w:color="000000" w:sz="4" w:space="0"/>
              <w:right w:val="single" w:color="000000" w:sz="4" w:space="0"/>
            </w:tcBorders>
            <w:vAlign w:val="center"/>
          </w:tcPr>
          <w:p w14:paraId="6E2F668E">
            <w:pPr>
              <w:jc w:val="center"/>
              <w:rPr>
                <w:rFonts w:ascii="宋体" w:hAnsi="宋体" w:cs="宋体"/>
                <w:color w:val="000000"/>
                <w:sz w:val="18"/>
                <w:szCs w:val="18"/>
              </w:rPr>
            </w:pPr>
            <w:r>
              <w:rPr>
                <w:rFonts w:hint="eastAsia" w:ascii="宋体" w:hAnsi="宋体" w:cs="宋体"/>
                <w:color w:val="000000"/>
                <w:sz w:val="18"/>
                <w:szCs w:val="18"/>
              </w:rPr>
              <w:t>无线话筒</w:t>
            </w:r>
          </w:p>
        </w:tc>
        <w:tc>
          <w:tcPr>
            <w:tcW w:w="1558" w:type="dxa"/>
            <w:tcBorders>
              <w:top w:val="single" w:color="000000" w:sz="4" w:space="0"/>
              <w:left w:val="single" w:color="000000" w:sz="4" w:space="0"/>
              <w:bottom w:val="single" w:color="000000" w:sz="4" w:space="0"/>
              <w:right w:val="single" w:color="000000" w:sz="4" w:space="0"/>
            </w:tcBorders>
            <w:vAlign w:val="center"/>
          </w:tcPr>
          <w:p w14:paraId="3EA9197C">
            <w:pPr>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一拖二</w:t>
            </w:r>
          </w:p>
        </w:tc>
        <w:tc>
          <w:tcPr>
            <w:tcW w:w="844" w:type="dxa"/>
            <w:tcBorders>
              <w:top w:val="single" w:color="000000" w:sz="4" w:space="0"/>
              <w:left w:val="single" w:color="000000" w:sz="4" w:space="0"/>
              <w:bottom w:val="single" w:color="000000" w:sz="4" w:space="0"/>
              <w:right w:val="single" w:color="000000" w:sz="4" w:space="0"/>
            </w:tcBorders>
            <w:vAlign w:val="center"/>
          </w:tcPr>
          <w:p w14:paraId="17A1EF85">
            <w:pPr>
              <w:jc w:val="center"/>
              <w:rPr>
                <w:rFonts w:ascii="宋体" w:hAnsi="宋体" w:cs="宋体"/>
                <w:color w:val="000000"/>
                <w:sz w:val="18"/>
                <w:szCs w:val="18"/>
              </w:rPr>
            </w:pPr>
            <w:r>
              <w:rPr>
                <w:rFonts w:hint="eastAsia" w:ascii="宋体" w:hAnsi="宋体" w:cs="宋体"/>
                <w:color w:val="000000"/>
                <w:sz w:val="18"/>
                <w:szCs w:val="18"/>
              </w:rPr>
              <w:t>1</w:t>
            </w:r>
          </w:p>
        </w:tc>
        <w:tc>
          <w:tcPr>
            <w:tcW w:w="995" w:type="dxa"/>
            <w:tcBorders>
              <w:top w:val="single" w:color="000000" w:sz="4" w:space="0"/>
              <w:left w:val="single" w:color="000000" w:sz="4" w:space="0"/>
              <w:bottom w:val="single" w:color="000000" w:sz="4" w:space="0"/>
              <w:right w:val="single" w:color="000000" w:sz="4" w:space="0"/>
            </w:tcBorders>
            <w:vAlign w:val="center"/>
          </w:tcPr>
          <w:p w14:paraId="068D39CC">
            <w:pPr>
              <w:jc w:val="center"/>
              <w:rPr>
                <w:rFonts w:ascii="宋体" w:hAnsi="宋体" w:cs="宋体"/>
                <w:color w:val="000000"/>
                <w:sz w:val="18"/>
                <w:szCs w:val="18"/>
              </w:rPr>
            </w:pPr>
            <w:r>
              <w:rPr>
                <w:rFonts w:hint="eastAsia" w:ascii="宋体" w:hAnsi="宋体" w:cs="宋体"/>
                <w:color w:val="000000"/>
                <w:sz w:val="18"/>
                <w:szCs w:val="18"/>
              </w:rPr>
              <w:t>套</w:t>
            </w:r>
          </w:p>
        </w:tc>
        <w:tc>
          <w:tcPr>
            <w:tcW w:w="801" w:type="dxa"/>
            <w:tcBorders>
              <w:top w:val="single" w:color="000000" w:sz="4" w:space="0"/>
              <w:left w:val="single" w:color="000000" w:sz="4" w:space="0"/>
              <w:bottom w:val="single" w:color="000000" w:sz="4" w:space="0"/>
              <w:right w:val="single" w:color="000000" w:sz="4" w:space="0"/>
            </w:tcBorders>
            <w:vAlign w:val="center"/>
          </w:tcPr>
          <w:p w14:paraId="109A824C">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6FA8A087">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005ECA4B">
            <w:pPr>
              <w:jc w:val="center"/>
              <w:rPr>
                <w:rFonts w:ascii="宋体" w:hAnsi="宋体" w:cs="宋体"/>
                <w:color w:val="000000"/>
                <w:sz w:val="18"/>
                <w:szCs w:val="18"/>
              </w:rPr>
            </w:pPr>
          </w:p>
        </w:tc>
      </w:tr>
      <w:tr w14:paraId="1F272BBC">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E7A49">
            <w:pPr>
              <w:widowControl/>
              <w:jc w:val="center"/>
              <w:textAlignment w:val="center"/>
              <w:rPr>
                <w:rFonts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bidi="ar"/>
              </w:rPr>
              <w:t>5</w:t>
            </w:r>
          </w:p>
        </w:tc>
        <w:tc>
          <w:tcPr>
            <w:tcW w:w="1544" w:type="dxa"/>
            <w:tcBorders>
              <w:top w:val="single" w:color="000000" w:sz="4" w:space="0"/>
              <w:left w:val="single" w:color="000000" w:sz="4" w:space="0"/>
              <w:bottom w:val="single" w:color="000000" w:sz="4" w:space="0"/>
              <w:right w:val="single" w:color="000000" w:sz="4" w:space="0"/>
            </w:tcBorders>
            <w:vAlign w:val="center"/>
          </w:tcPr>
          <w:p w14:paraId="0C207C54">
            <w:pPr>
              <w:jc w:val="center"/>
              <w:rPr>
                <w:rFonts w:ascii="宋体" w:hAnsi="宋体" w:cs="宋体"/>
                <w:color w:val="000000"/>
                <w:sz w:val="18"/>
                <w:szCs w:val="18"/>
              </w:rPr>
            </w:pPr>
            <w:r>
              <w:rPr>
                <w:rFonts w:hint="eastAsia" w:ascii="宋体" w:hAnsi="宋体" w:cs="宋体"/>
                <w:color w:val="000000"/>
                <w:sz w:val="18"/>
                <w:szCs w:val="18"/>
              </w:rPr>
              <w:t>电源管理器</w:t>
            </w:r>
          </w:p>
        </w:tc>
        <w:tc>
          <w:tcPr>
            <w:tcW w:w="1558" w:type="dxa"/>
            <w:tcBorders>
              <w:top w:val="single" w:color="000000" w:sz="4" w:space="0"/>
              <w:left w:val="single" w:color="000000" w:sz="4" w:space="0"/>
              <w:bottom w:val="single" w:color="000000" w:sz="4" w:space="0"/>
              <w:right w:val="single" w:color="000000" w:sz="4" w:space="0"/>
            </w:tcBorders>
            <w:vAlign w:val="center"/>
          </w:tcPr>
          <w:p w14:paraId="41E76C41">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8通道时序电源</w:t>
            </w:r>
          </w:p>
        </w:tc>
        <w:tc>
          <w:tcPr>
            <w:tcW w:w="844" w:type="dxa"/>
            <w:tcBorders>
              <w:top w:val="single" w:color="000000" w:sz="4" w:space="0"/>
              <w:left w:val="single" w:color="000000" w:sz="4" w:space="0"/>
              <w:bottom w:val="single" w:color="000000" w:sz="4" w:space="0"/>
              <w:right w:val="single" w:color="000000" w:sz="4" w:space="0"/>
            </w:tcBorders>
            <w:vAlign w:val="center"/>
          </w:tcPr>
          <w:p w14:paraId="4EB8AEF4">
            <w:pPr>
              <w:jc w:val="center"/>
              <w:rPr>
                <w:rFonts w:ascii="宋体" w:hAnsi="宋体" w:cs="宋体"/>
                <w:color w:val="000000"/>
                <w:sz w:val="18"/>
                <w:szCs w:val="18"/>
              </w:rPr>
            </w:pPr>
            <w:r>
              <w:rPr>
                <w:rFonts w:hint="eastAsia" w:ascii="宋体" w:hAnsi="宋体" w:cs="宋体"/>
                <w:color w:val="000000"/>
                <w:sz w:val="18"/>
                <w:szCs w:val="18"/>
              </w:rPr>
              <w:t>2</w:t>
            </w:r>
          </w:p>
        </w:tc>
        <w:tc>
          <w:tcPr>
            <w:tcW w:w="995" w:type="dxa"/>
            <w:tcBorders>
              <w:top w:val="single" w:color="000000" w:sz="4" w:space="0"/>
              <w:left w:val="single" w:color="000000" w:sz="4" w:space="0"/>
              <w:bottom w:val="single" w:color="000000" w:sz="4" w:space="0"/>
              <w:right w:val="single" w:color="000000" w:sz="4" w:space="0"/>
            </w:tcBorders>
            <w:vAlign w:val="center"/>
          </w:tcPr>
          <w:p w14:paraId="0F54FFAF">
            <w:pPr>
              <w:jc w:val="center"/>
              <w:rPr>
                <w:rFonts w:ascii="宋体" w:hAnsi="宋体" w:cs="宋体"/>
                <w:color w:val="000000"/>
                <w:sz w:val="18"/>
                <w:szCs w:val="18"/>
              </w:rPr>
            </w:pPr>
            <w:r>
              <w:rPr>
                <w:rFonts w:hint="eastAsia" w:ascii="宋体" w:hAnsi="宋体" w:cs="宋体"/>
                <w:color w:val="000000"/>
                <w:sz w:val="18"/>
                <w:szCs w:val="18"/>
              </w:rPr>
              <w:t>台</w:t>
            </w:r>
          </w:p>
        </w:tc>
        <w:tc>
          <w:tcPr>
            <w:tcW w:w="801" w:type="dxa"/>
            <w:tcBorders>
              <w:top w:val="single" w:color="000000" w:sz="4" w:space="0"/>
              <w:left w:val="single" w:color="000000" w:sz="4" w:space="0"/>
              <w:bottom w:val="single" w:color="000000" w:sz="4" w:space="0"/>
              <w:right w:val="single" w:color="000000" w:sz="4" w:space="0"/>
            </w:tcBorders>
            <w:vAlign w:val="center"/>
          </w:tcPr>
          <w:p w14:paraId="2CC461A6">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68061D0B">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06B3AEAB">
            <w:pPr>
              <w:jc w:val="center"/>
              <w:rPr>
                <w:rFonts w:ascii="宋体" w:hAnsi="宋体" w:cs="宋体"/>
                <w:color w:val="000000"/>
                <w:sz w:val="18"/>
                <w:szCs w:val="18"/>
              </w:rPr>
            </w:pPr>
          </w:p>
        </w:tc>
      </w:tr>
      <w:tr w14:paraId="3C15ADF4">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73A7">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kern w:val="0"/>
                <w:sz w:val="18"/>
                <w:szCs w:val="18"/>
                <w:lang w:bidi="ar"/>
              </w:rPr>
              <w:t>6</w:t>
            </w:r>
          </w:p>
        </w:tc>
        <w:tc>
          <w:tcPr>
            <w:tcW w:w="1544" w:type="dxa"/>
            <w:tcBorders>
              <w:top w:val="single" w:color="000000" w:sz="4" w:space="0"/>
              <w:left w:val="single" w:color="000000" w:sz="4" w:space="0"/>
              <w:bottom w:val="single" w:color="000000" w:sz="4" w:space="0"/>
              <w:right w:val="single" w:color="000000" w:sz="4" w:space="0"/>
            </w:tcBorders>
            <w:vAlign w:val="center"/>
          </w:tcPr>
          <w:p w14:paraId="128451EF">
            <w:pPr>
              <w:jc w:val="center"/>
              <w:rPr>
                <w:rFonts w:ascii="宋体" w:hAnsi="宋体" w:cs="宋体"/>
                <w:color w:val="000000"/>
                <w:sz w:val="18"/>
                <w:szCs w:val="18"/>
              </w:rPr>
            </w:pPr>
            <w:r>
              <w:rPr>
                <w:rFonts w:hint="eastAsia" w:ascii="宋体" w:hAnsi="宋体" w:cs="宋体"/>
                <w:color w:val="000000"/>
                <w:sz w:val="18"/>
                <w:szCs w:val="18"/>
              </w:rPr>
              <w:t>全数字会议系统主机</w:t>
            </w:r>
          </w:p>
        </w:tc>
        <w:tc>
          <w:tcPr>
            <w:tcW w:w="1558" w:type="dxa"/>
            <w:tcBorders>
              <w:top w:val="single" w:color="000000" w:sz="4" w:space="0"/>
              <w:left w:val="single" w:color="000000" w:sz="4" w:space="0"/>
              <w:bottom w:val="single" w:color="000000" w:sz="4" w:space="0"/>
              <w:right w:val="single" w:color="000000" w:sz="4" w:space="0"/>
            </w:tcBorders>
            <w:vAlign w:val="center"/>
          </w:tcPr>
          <w:p w14:paraId="5C4FADBC">
            <w:pPr>
              <w:widowControl/>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含系统软件</w:t>
            </w:r>
          </w:p>
        </w:tc>
        <w:tc>
          <w:tcPr>
            <w:tcW w:w="844" w:type="dxa"/>
            <w:tcBorders>
              <w:top w:val="single" w:color="000000" w:sz="4" w:space="0"/>
              <w:left w:val="single" w:color="000000" w:sz="4" w:space="0"/>
              <w:bottom w:val="single" w:color="000000" w:sz="4" w:space="0"/>
              <w:right w:val="single" w:color="000000" w:sz="4" w:space="0"/>
            </w:tcBorders>
            <w:vAlign w:val="center"/>
          </w:tcPr>
          <w:p w14:paraId="1117C589">
            <w:pPr>
              <w:jc w:val="center"/>
              <w:rPr>
                <w:rFonts w:ascii="宋体" w:hAnsi="宋体" w:cs="宋体"/>
                <w:color w:val="000000"/>
                <w:sz w:val="18"/>
                <w:szCs w:val="18"/>
              </w:rPr>
            </w:pPr>
            <w:r>
              <w:rPr>
                <w:rFonts w:hint="eastAsia" w:ascii="宋体" w:hAnsi="宋体" w:cs="宋体"/>
                <w:color w:val="000000"/>
                <w:sz w:val="18"/>
                <w:szCs w:val="18"/>
              </w:rPr>
              <w:t>1</w:t>
            </w:r>
          </w:p>
        </w:tc>
        <w:tc>
          <w:tcPr>
            <w:tcW w:w="995" w:type="dxa"/>
            <w:tcBorders>
              <w:top w:val="single" w:color="000000" w:sz="4" w:space="0"/>
              <w:left w:val="single" w:color="000000" w:sz="4" w:space="0"/>
              <w:bottom w:val="single" w:color="000000" w:sz="4" w:space="0"/>
              <w:right w:val="single" w:color="000000" w:sz="4" w:space="0"/>
            </w:tcBorders>
            <w:vAlign w:val="center"/>
          </w:tcPr>
          <w:p w14:paraId="79F0429F">
            <w:pPr>
              <w:jc w:val="center"/>
              <w:rPr>
                <w:rFonts w:ascii="宋体" w:hAnsi="宋体" w:cs="宋体"/>
                <w:color w:val="000000"/>
                <w:sz w:val="18"/>
                <w:szCs w:val="18"/>
              </w:rPr>
            </w:pPr>
            <w:r>
              <w:rPr>
                <w:rFonts w:hint="eastAsia" w:ascii="宋体" w:hAnsi="宋体" w:cs="宋体"/>
                <w:color w:val="000000"/>
                <w:sz w:val="18"/>
                <w:szCs w:val="18"/>
              </w:rPr>
              <w:t>套</w:t>
            </w:r>
          </w:p>
        </w:tc>
        <w:tc>
          <w:tcPr>
            <w:tcW w:w="801" w:type="dxa"/>
            <w:tcBorders>
              <w:top w:val="single" w:color="000000" w:sz="4" w:space="0"/>
              <w:left w:val="single" w:color="000000" w:sz="4" w:space="0"/>
              <w:bottom w:val="single" w:color="000000" w:sz="4" w:space="0"/>
              <w:right w:val="single" w:color="000000" w:sz="4" w:space="0"/>
            </w:tcBorders>
            <w:vAlign w:val="center"/>
          </w:tcPr>
          <w:p w14:paraId="4CC8A61C">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413B47D1">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1526EA23">
            <w:pPr>
              <w:jc w:val="center"/>
              <w:rPr>
                <w:rFonts w:ascii="宋体" w:hAnsi="宋体" w:cs="宋体"/>
                <w:color w:val="000000"/>
                <w:sz w:val="18"/>
                <w:szCs w:val="18"/>
              </w:rPr>
            </w:pPr>
          </w:p>
        </w:tc>
      </w:tr>
      <w:tr w14:paraId="7F90B75C">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436B">
            <w:pPr>
              <w:widowControl/>
              <w:jc w:val="center"/>
              <w:textAlignment w:val="center"/>
              <w:rPr>
                <w:rFonts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bidi="ar"/>
              </w:rPr>
              <w:t>7</w:t>
            </w:r>
          </w:p>
        </w:tc>
        <w:tc>
          <w:tcPr>
            <w:tcW w:w="1544" w:type="dxa"/>
            <w:tcBorders>
              <w:top w:val="single" w:color="000000" w:sz="4" w:space="0"/>
              <w:left w:val="single" w:color="000000" w:sz="4" w:space="0"/>
              <w:bottom w:val="single" w:color="000000" w:sz="4" w:space="0"/>
              <w:right w:val="single" w:color="000000" w:sz="4" w:space="0"/>
            </w:tcBorders>
            <w:vAlign w:val="center"/>
          </w:tcPr>
          <w:p w14:paraId="0799450F">
            <w:pPr>
              <w:jc w:val="center"/>
              <w:rPr>
                <w:rFonts w:ascii="宋体" w:hAnsi="宋体" w:cs="宋体"/>
                <w:color w:val="000000"/>
                <w:sz w:val="18"/>
                <w:szCs w:val="18"/>
              </w:rPr>
            </w:pPr>
            <w:r>
              <w:rPr>
                <w:rFonts w:hint="eastAsia" w:ascii="宋体" w:hAnsi="宋体" w:cs="宋体"/>
                <w:color w:val="000000"/>
                <w:sz w:val="18"/>
                <w:szCs w:val="18"/>
              </w:rPr>
              <w:t>AI反馈抑制器</w:t>
            </w:r>
          </w:p>
        </w:tc>
        <w:tc>
          <w:tcPr>
            <w:tcW w:w="1558" w:type="dxa"/>
            <w:tcBorders>
              <w:top w:val="single" w:color="000000" w:sz="4" w:space="0"/>
              <w:left w:val="single" w:color="000000" w:sz="4" w:space="0"/>
              <w:bottom w:val="single" w:color="000000" w:sz="4" w:space="0"/>
              <w:right w:val="single" w:color="000000" w:sz="4" w:space="0"/>
            </w:tcBorders>
            <w:vAlign w:val="center"/>
          </w:tcPr>
          <w:p w14:paraId="364B8413">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w:t>
            </w:r>
          </w:p>
        </w:tc>
        <w:tc>
          <w:tcPr>
            <w:tcW w:w="844" w:type="dxa"/>
            <w:tcBorders>
              <w:top w:val="single" w:color="000000" w:sz="4" w:space="0"/>
              <w:left w:val="single" w:color="000000" w:sz="4" w:space="0"/>
              <w:bottom w:val="single" w:color="000000" w:sz="4" w:space="0"/>
              <w:right w:val="single" w:color="000000" w:sz="4" w:space="0"/>
            </w:tcBorders>
            <w:vAlign w:val="center"/>
          </w:tcPr>
          <w:p w14:paraId="398A6F7F">
            <w:pPr>
              <w:jc w:val="center"/>
              <w:rPr>
                <w:rFonts w:ascii="宋体" w:hAnsi="宋体" w:cs="宋体"/>
                <w:color w:val="000000"/>
                <w:sz w:val="18"/>
                <w:szCs w:val="18"/>
              </w:rPr>
            </w:pPr>
            <w:r>
              <w:rPr>
                <w:rFonts w:hint="eastAsia" w:ascii="宋体" w:hAnsi="宋体" w:cs="宋体"/>
                <w:color w:val="000000"/>
                <w:sz w:val="18"/>
                <w:szCs w:val="18"/>
              </w:rPr>
              <w:t>1</w:t>
            </w:r>
          </w:p>
        </w:tc>
        <w:tc>
          <w:tcPr>
            <w:tcW w:w="995" w:type="dxa"/>
            <w:tcBorders>
              <w:top w:val="single" w:color="000000" w:sz="4" w:space="0"/>
              <w:left w:val="single" w:color="000000" w:sz="4" w:space="0"/>
              <w:bottom w:val="single" w:color="000000" w:sz="4" w:space="0"/>
              <w:right w:val="single" w:color="000000" w:sz="4" w:space="0"/>
            </w:tcBorders>
            <w:vAlign w:val="center"/>
          </w:tcPr>
          <w:p w14:paraId="44C9BEA3">
            <w:pPr>
              <w:jc w:val="center"/>
              <w:rPr>
                <w:rFonts w:ascii="宋体" w:hAnsi="宋体" w:cs="宋体"/>
                <w:color w:val="000000"/>
                <w:sz w:val="18"/>
                <w:szCs w:val="18"/>
              </w:rPr>
            </w:pPr>
            <w:r>
              <w:rPr>
                <w:rFonts w:hint="eastAsia" w:ascii="宋体" w:hAnsi="宋体" w:cs="宋体"/>
                <w:color w:val="000000"/>
                <w:sz w:val="18"/>
                <w:szCs w:val="18"/>
              </w:rPr>
              <w:t>台</w:t>
            </w:r>
          </w:p>
        </w:tc>
        <w:tc>
          <w:tcPr>
            <w:tcW w:w="801" w:type="dxa"/>
            <w:tcBorders>
              <w:top w:val="single" w:color="000000" w:sz="4" w:space="0"/>
              <w:left w:val="single" w:color="000000" w:sz="4" w:space="0"/>
              <w:bottom w:val="single" w:color="000000" w:sz="4" w:space="0"/>
              <w:right w:val="single" w:color="000000" w:sz="4" w:space="0"/>
            </w:tcBorders>
            <w:vAlign w:val="center"/>
          </w:tcPr>
          <w:p w14:paraId="5C36F1F9">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6A8C9865">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74E157EE">
            <w:pPr>
              <w:jc w:val="center"/>
              <w:rPr>
                <w:rFonts w:ascii="宋体" w:hAnsi="宋体" w:cs="宋体"/>
                <w:color w:val="000000"/>
                <w:sz w:val="18"/>
                <w:szCs w:val="18"/>
              </w:rPr>
            </w:pPr>
          </w:p>
        </w:tc>
      </w:tr>
      <w:tr w14:paraId="0103375F">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45DC">
            <w:pPr>
              <w:widowControl/>
              <w:jc w:val="center"/>
              <w:textAlignment w:val="center"/>
              <w:rPr>
                <w:rFonts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bidi="ar"/>
              </w:rPr>
              <w:t>8</w:t>
            </w:r>
          </w:p>
        </w:tc>
        <w:tc>
          <w:tcPr>
            <w:tcW w:w="1544" w:type="dxa"/>
            <w:tcBorders>
              <w:top w:val="single" w:color="000000" w:sz="4" w:space="0"/>
              <w:left w:val="single" w:color="000000" w:sz="4" w:space="0"/>
              <w:bottom w:val="single" w:color="000000" w:sz="4" w:space="0"/>
              <w:right w:val="single" w:color="000000" w:sz="4" w:space="0"/>
            </w:tcBorders>
            <w:vAlign w:val="center"/>
          </w:tcPr>
          <w:p w14:paraId="2BC41276">
            <w:pPr>
              <w:jc w:val="center"/>
              <w:rPr>
                <w:rFonts w:ascii="宋体" w:hAnsi="宋体" w:cs="宋体"/>
                <w:color w:val="000000"/>
                <w:sz w:val="18"/>
                <w:szCs w:val="18"/>
              </w:rPr>
            </w:pPr>
            <w:r>
              <w:rPr>
                <w:rFonts w:hint="eastAsia" w:ascii="宋体" w:hAnsi="宋体" w:cs="宋体"/>
                <w:color w:val="000000"/>
                <w:sz w:val="18"/>
                <w:szCs w:val="18"/>
              </w:rPr>
              <w:t>会议话筒</w:t>
            </w:r>
          </w:p>
        </w:tc>
        <w:tc>
          <w:tcPr>
            <w:tcW w:w="1558" w:type="dxa"/>
            <w:tcBorders>
              <w:top w:val="single" w:color="000000" w:sz="4" w:space="0"/>
              <w:left w:val="single" w:color="000000" w:sz="4" w:space="0"/>
              <w:bottom w:val="single" w:color="000000" w:sz="4" w:space="0"/>
              <w:right w:val="single" w:color="000000" w:sz="4" w:space="0"/>
            </w:tcBorders>
            <w:vAlign w:val="center"/>
          </w:tcPr>
          <w:p w14:paraId="7AD966DD">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桌面式</w:t>
            </w:r>
          </w:p>
        </w:tc>
        <w:tc>
          <w:tcPr>
            <w:tcW w:w="844" w:type="dxa"/>
            <w:tcBorders>
              <w:top w:val="single" w:color="000000" w:sz="4" w:space="0"/>
              <w:left w:val="single" w:color="000000" w:sz="4" w:space="0"/>
              <w:bottom w:val="single" w:color="000000" w:sz="4" w:space="0"/>
              <w:right w:val="single" w:color="000000" w:sz="4" w:space="0"/>
            </w:tcBorders>
            <w:vAlign w:val="center"/>
          </w:tcPr>
          <w:p w14:paraId="52EBB4F2">
            <w:pPr>
              <w:jc w:val="center"/>
              <w:rPr>
                <w:rFonts w:hint="eastAsia" w:ascii="宋体" w:hAnsi="宋体" w:eastAsia="宋体" w:cs="宋体"/>
                <w:color w:val="000000"/>
                <w:sz w:val="18"/>
                <w:szCs w:val="18"/>
                <w:lang w:eastAsia="zh-CN"/>
              </w:rPr>
            </w:pPr>
            <w:r>
              <w:rPr>
                <w:rFonts w:hint="eastAsia" w:ascii="宋体" w:hAnsi="宋体" w:cs="宋体"/>
                <w:color w:val="000000"/>
                <w:sz w:val="18"/>
                <w:szCs w:val="18"/>
              </w:rPr>
              <w:t>2</w:t>
            </w:r>
            <w:r>
              <w:rPr>
                <w:rFonts w:hint="eastAsia" w:ascii="宋体" w:hAnsi="宋体" w:cs="宋体"/>
                <w:color w:val="000000"/>
                <w:sz w:val="18"/>
                <w:szCs w:val="18"/>
                <w:lang w:val="en-US" w:eastAsia="zh-CN"/>
              </w:rPr>
              <w:t>2</w:t>
            </w:r>
          </w:p>
        </w:tc>
        <w:tc>
          <w:tcPr>
            <w:tcW w:w="995" w:type="dxa"/>
            <w:tcBorders>
              <w:top w:val="single" w:color="000000" w:sz="4" w:space="0"/>
              <w:left w:val="single" w:color="000000" w:sz="4" w:space="0"/>
              <w:bottom w:val="single" w:color="000000" w:sz="4" w:space="0"/>
              <w:right w:val="single" w:color="000000" w:sz="4" w:space="0"/>
            </w:tcBorders>
            <w:vAlign w:val="center"/>
          </w:tcPr>
          <w:p w14:paraId="30B1FCCF">
            <w:pPr>
              <w:jc w:val="center"/>
              <w:rPr>
                <w:rFonts w:ascii="宋体" w:hAnsi="宋体" w:cs="宋体"/>
                <w:color w:val="000000"/>
                <w:sz w:val="18"/>
                <w:szCs w:val="18"/>
              </w:rPr>
            </w:pPr>
            <w:r>
              <w:rPr>
                <w:rFonts w:hint="eastAsia" w:ascii="宋体" w:hAnsi="宋体" w:cs="宋体"/>
                <w:color w:val="000000"/>
                <w:sz w:val="18"/>
                <w:szCs w:val="18"/>
              </w:rPr>
              <w:t>台</w:t>
            </w:r>
          </w:p>
        </w:tc>
        <w:tc>
          <w:tcPr>
            <w:tcW w:w="801" w:type="dxa"/>
            <w:tcBorders>
              <w:top w:val="single" w:color="000000" w:sz="4" w:space="0"/>
              <w:left w:val="single" w:color="000000" w:sz="4" w:space="0"/>
              <w:bottom w:val="single" w:color="000000" w:sz="4" w:space="0"/>
              <w:right w:val="single" w:color="000000" w:sz="4" w:space="0"/>
            </w:tcBorders>
            <w:vAlign w:val="center"/>
          </w:tcPr>
          <w:p w14:paraId="22262075">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31428897">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77AF0C79">
            <w:pPr>
              <w:jc w:val="center"/>
              <w:rPr>
                <w:rFonts w:ascii="宋体" w:hAnsi="宋体" w:cs="宋体"/>
                <w:color w:val="000000"/>
                <w:sz w:val="18"/>
                <w:szCs w:val="18"/>
              </w:rPr>
            </w:pPr>
          </w:p>
        </w:tc>
      </w:tr>
      <w:tr w14:paraId="17ACA62D">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82E3">
            <w:pPr>
              <w:widowControl/>
              <w:jc w:val="center"/>
              <w:textAlignment w:val="center"/>
              <w:rPr>
                <w:rFonts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bidi="ar"/>
              </w:rPr>
              <w:t>9</w:t>
            </w:r>
          </w:p>
        </w:tc>
        <w:tc>
          <w:tcPr>
            <w:tcW w:w="1544" w:type="dxa"/>
            <w:tcBorders>
              <w:top w:val="single" w:color="000000" w:sz="4" w:space="0"/>
              <w:left w:val="single" w:color="000000" w:sz="4" w:space="0"/>
              <w:bottom w:val="single" w:color="000000" w:sz="4" w:space="0"/>
              <w:right w:val="single" w:color="000000" w:sz="4" w:space="0"/>
            </w:tcBorders>
            <w:vAlign w:val="center"/>
          </w:tcPr>
          <w:p w14:paraId="27A0258A">
            <w:pPr>
              <w:jc w:val="center"/>
              <w:rPr>
                <w:rFonts w:ascii="宋体" w:hAnsi="宋体" w:cs="宋体"/>
                <w:color w:val="000000"/>
                <w:sz w:val="18"/>
                <w:szCs w:val="18"/>
              </w:rPr>
            </w:pPr>
            <w:r>
              <w:rPr>
                <w:rFonts w:hint="eastAsia" w:ascii="宋体" w:hAnsi="宋体" w:cs="宋体"/>
                <w:color w:val="000000"/>
                <w:sz w:val="18"/>
                <w:szCs w:val="18"/>
              </w:rPr>
              <w:t>插座</w:t>
            </w:r>
          </w:p>
        </w:tc>
        <w:tc>
          <w:tcPr>
            <w:tcW w:w="1558" w:type="dxa"/>
            <w:tcBorders>
              <w:top w:val="single" w:color="000000" w:sz="4" w:space="0"/>
              <w:left w:val="single" w:color="000000" w:sz="4" w:space="0"/>
              <w:bottom w:val="single" w:color="000000" w:sz="4" w:space="0"/>
              <w:right w:val="single" w:color="000000" w:sz="4" w:space="0"/>
            </w:tcBorders>
            <w:vAlign w:val="center"/>
          </w:tcPr>
          <w:p w14:paraId="2C0C4C5F">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二三插</w:t>
            </w:r>
          </w:p>
        </w:tc>
        <w:tc>
          <w:tcPr>
            <w:tcW w:w="844" w:type="dxa"/>
            <w:tcBorders>
              <w:top w:val="single" w:color="000000" w:sz="4" w:space="0"/>
              <w:left w:val="single" w:color="000000" w:sz="4" w:space="0"/>
              <w:bottom w:val="single" w:color="000000" w:sz="4" w:space="0"/>
              <w:right w:val="single" w:color="000000" w:sz="4" w:space="0"/>
            </w:tcBorders>
            <w:vAlign w:val="center"/>
          </w:tcPr>
          <w:p w14:paraId="61FB7B20">
            <w:pPr>
              <w:jc w:val="center"/>
              <w:rPr>
                <w:rFonts w:ascii="宋体" w:hAnsi="宋体" w:cs="宋体"/>
                <w:color w:val="000000"/>
                <w:sz w:val="18"/>
                <w:szCs w:val="18"/>
              </w:rPr>
            </w:pPr>
            <w:r>
              <w:rPr>
                <w:rFonts w:hint="eastAsia" w:ascii="宋体" w:hAnsi="宋体" w:cs="宋体"/>
                <w:color w:val="000000"/>
                <w:sz w:val="18"/>
                <w:szCs w:val="18"/>
              </w:rPr>
              <w:t>1</w:t>
            </w:r>
          </w:p>
        </w:tc>
        <w:tc>
          <w:tcPr>
            <w:tcW w:w="995" w:type="dxa"/>
            <w:tcBorders>
              <w:top w:val="single" w:color="000000" w:sz="4" w:space="0"/>
              <w:left w:val="single" w:color="000000" w:sz="4" w:space="0"/>
              <w:bottom w:val="single" w:color="000000" w:sz="4" w:space="0"/>
              <w:right w:val="single" w:color="000000" w:sz="4" w:space="0"/>
            </w:tcBorders>
            <w:vAlign w:val="center"/>
          </w:tcPr>
          <w:p w14:paraId="6CDAB081">
            <w:pPr>
              <w:jc w:val="center"/>
              <w:rPr>
                <w:rFonts w:ascii="宋体" w:hAnsi="宋体" w:cs="宋体"/>
                <w:color w:val="000000"/>
                <w:sz w:val="18"/>
                <w:szCs w:val="18"/>
              </w:rPr>
            </w:pPr>
            <w:r>
              <w:rPr>
                <w:rFonts w:hint="eastAsia" w:ascii="宋体" w:hAnsi="宋体" w:cs="宋体"/>
                <w:color w:val="000000"/>
                <w:sz w:val="18"/>
                <w:szCs w:val="18"/>
              </w:rPr>
              <w:t>个</w:t>
            </w:r>
          </w:p>
        </w:tc>
        <w:tc>
          <w:tcPr>
            <w:tcW w:w="801" w:type="dxa"/>
            <w:tcBorders>
              <w:top w:val="single" w:color="000000" w:sz="4" w:space="0"/>
              <w:left w:val="single" w:color="000000" w:sz="4" w:space="0"/>
              <w:bottom w:val="single" w:color="000000" w:sz="4" w:space="0"/>
              <w:right w:val="single" w:color="000000" w:sz="4" w:space="0"/>
            </w:tcBorders>
            <w:vAlign w:val="center"/>
          </w:tcPr>
          <w:p w14:paraId="0ACB81C6">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3432EC11">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218CE698">
            <w:pPr>
              <w:jc w:val="center"/>
              <w:rPr>
                <w:rFonts w:ascii="宋体" w:hAnsi="宋体" w:cs="宋体"/>
                <w:color w:val="000000"/>
                <w:sz w:val="18"/>
                <w:szCs w:val="18"/>
              </w:rPr>
            </w:pPr>
          </w:p>
        </w:tc>
      </w:tr>
      <w:tr w14:paraId="00069848">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49CC">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kern w:val="0"/>
                <w:sz w:val="18"/>
                <w:szCs w:val="18"/>
                <w:lang w:bidi="ar"/>
              </w:rPr>
              <w:t>10</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30AC">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网络中控主机</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AC1B">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sz w:val="18"/>
                <w:szCs w:val="18"/>
              </w:rPr>
              <w:t>内嵌软件</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B204">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1</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C78F">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台</w:t>
            </w:r>
          </w:p>
        </w:tc>
        <w:tc>
          <w:tcPr>
            <w:tcW w:w="801" w:type="dxa"/>
            <w:tcBorders>
              <w:top w:val="single" w:color="000000" w:sz="4" w:space="0"/>
              <w:left w:val="single" w:color="000000" w:sz="4" w:space="0"/>
              <w:bottom w:val="single" w:color="000000" w:sz="4" w:space="0"/>
              <w:right w:val="single" w:color="000000" w:sz="4" w:space="0"/>
            </w:tcBorders>
            <w:vAlign w:val="center"/>
          </w:tcPr>
          <w:p w14:paraId="1EB31D5D">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1CEFC0DC">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3F4386E6">
            <w:pPr>
              <w:jc w:val="center"/>
              <w:rPr>
                <w:rFonts w:ascii="宋体" w:hAnsi="宋体" w:cs="宋体"/>
                <w:color w:val="000000"/>
                <w:sz w:val="18"/>
                <w:szCs w:val="18"/>
              </w:rPr>
            </w:pPr>
          </w:p>
        </w:tc>
      </w:tr>
      <w:tr w14:paraId="45717AC7">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EC3E3">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kern w:val="0"/>
                <w:sz w:val="18"/>
                <w:szCs w:val="18"/>
                <w:lang w:bidi="ar"/>
              </w:rPr>
              <w:t>11</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232D3">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路由器</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19B1">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B102">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1</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51F8">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台</w:t>
            </w:r>
          </w:p>
        </w:tc>
        <w:tc>
          <w:tcPr>
            <w:tcW w:w="801" w:type="dxa"/>
            <w:tcBorders>
              <w:top w:val="single" w:color="000000" w:sz="4" w:space="0"/>
              <w:left w:val="single" w:color="000000" w:sz="4" w:space="0"/>
              <w:bottom w:val="single" w:color="000000" w:sz="4" w:space="0"/>
              <w:right w:val="single" w:color="000000" w:sz="4" w:space="0"/>
            </w:tcBorders>
            <w:vAlign w:val="center"/>
          </w:tcPr>
          <w:p w14:paraId="121AE60E">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6AD077C9">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69A3C29D">
            <w:pPr>
              <w:jc w:val="center"/>
              <w:rPr>
                <w:rFonts w:ascii="宋体" w:hAnsi="宋体" w:cs="宋体"/>
                <w:color w:val="000000"/>
                <w:sz w:val="18"/>
                <w:szCs w:val="18"/>
              </w:rPr>
            </w:pPr>
          </w:p>
        </w:tc>
      </w:tr>
      <w:tr w14:paraId="06E68D71">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ECAE">
            <w:pPr>
              <w:widowControl/>
              <w:jc w:val="center"/>
              <w:textAlignment w:val="center"/>
              <w:rPr>
                <w:rFonts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bidi="ar"/>
              </w:rPr>
              <w:t>12</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47F0">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控制器</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3709">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sz w:val="18"/>
                <w:szCs w:val="18"/>
              </w:rPr>
              <w:t>8路电源</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AF0A">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1</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275E">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台</w:t>
            </w:r>
          </w:p>
        </w:tc>
        <w:tc>
          <w:tcPr>
            <w:tcW w:w="801" w:type="dxa"/>
            <w:tcBorders>
              <w:top w:val="single" w:color="000000" w:sz="4" w:space="0"/>
              <w:left w:val="single" w:color="000000" w:sz="4" w:space="0"/>
              <w:bottom w:val="single" w:color="000000" w:sz="4" w:space="0"/>
              <w:right w:val="single" w:color="000000" w:sz="4" w:space="0"/>
            </w:tcBorders>
            <w:vAlign w:val="center"/>
          </w:tcPr>
          <w:p w14:paraId="27E48FEA">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60F4F1F8">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4DF173DF">
            <w:pPr>
              <w:jc w:val="center"/>
              <w:rPr>
                <w:rFonts w:ascii="宋体" w:hAnsi="宋体" w:cs="宋体"/>
                <w:color w:val="000000"/>
                <w:sz w:val="18"/>
                <w:szCs w:val="18"/>
              </w:rPr>
            </w:pPr>
          </w:p>
        </w:tc>
      </w:tr>
      <w:tr w14:paraId="75E39F4A">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983E">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kern w:val="0"/>
                <w:sz w:val="18"/>
                <w:szCs w:val="18"/>
                <w:lang w:bidi="ar"/>
              </w:rPr>
              <w:t>13</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1F09">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多媒体插座</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A6B92">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地插,含1电源/2网口/1HDMI/1音频</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6EF9">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1</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6476">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个</w:t>
            </w:r>
          </w:p>
        </w:tc>
        <w:tc>
          <w:tcPr>
            <w:tcW w:w="801" w:type="dxa"/>
            <w:tcBorders>
              <w:top w:val="single" w:color="000000" w:sz="4" w:space="0"/>
              <w:left w:val="single" w:color="000000" w:sz="4" w:space="0"/>
              <w:bottom w:val="single" w:color="000000" w:sz="4" w:space="0"/>
              <w:right w:val="single" w:color="000000" w:sz="4" w:space="0"/>
            </w:tcBorders>
            <w:vAlign w:val="center"/>
          </w:tcPr>
          <w:p w14:paraId="29775195">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17D4CA0E">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17B44DAB">
            <w:pPr>
              <w:jc w:val="center"/>
              <w:rPr>
                <w:rFonts w:ascii="宋体" w:hAnsi="宋体" w:cs="宋体"/>
                <w:color w:val="000000"/>
                <w:sz w:val="18"/>
                <w:szCs w:val="18"/>
              </w:rPr>
            </w:pPr>
          </w:p>
        </w:tc>
      </w:tr>
      <w:tr w14:paraId="744BCDB6">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9EFC">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kern w:val="0"/>
                <w:sz w:val="18"/>
                <w:szCs w:val="18"/>
                <w:lang w:bidi="ar"/>
              </w:rPr>
              <w:t>14</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8FEC">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音频连接线</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top"/>
          </w:tcPr>
          <w:p w14:paraId="3F7B1990">
            <w:pPr>
              <w:spacing w:beforeLines="0" w:afterLines="0"/>
              <w:jc w:val="left"/>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三芯卡侬跳线(母-公)</w:t>
            </w:r>
            <w:r>
              <w:rPr>
                <w:rFonts w:hint="eastAsia" w:ascii="宋体" w:hAnsi="宋体"/>
                <w:color w:val="000000"/>
                <w:sz w:val="18"/>
                <w:szCs w:val="24"/>
                <w:lang w:eastAsia="zh-CN"/>
              </w:rPr>
              <w:t>、</w:t>
            </w:r>
            <w:r>
              <w:rPr>
                <w:rFonts w:hint="eastAsia" w:ascii="宋体" w:hAnsi="宋体"/>
                <w:color w:val="000000"/>
                <w:sz w:val="18"/>
                <w:szCs w:val="24"/>
              </w:rPr>
              <w:t>1.8m</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A2FE">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4</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F0FC">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根</w:t>
            </w:r>
          </w:p>
        </w:tc>
        <w:tc>
          <w:tcPr>
            <w:tcW w:w="801" w:type="dxa"/>
            <w:tcBorders>
              <w:top w:val="single" w:color="000000" w:sz="4" w:space="0"/>
              <w:left w:val="single" w:color="000000" w:sz="4" w:space="0"/>
              <w:bottom w:val="single" w:color="000000" w:sz="4" w:space="0"/>
              <w:right w:val="single" w:color="000000" w:sz="4" w:space="0"/>
            </w:tcBorders>
            <w:vAlign w:val="center"/>
          </w:tcPr>
          <w:p w14:paraId="09754AF7">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2CD9C229">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5FA052A0">
            <w:pPr>
              <w:jc w:val="center"/>
              <w:rPr>
                <w:rFonts w:ascii="宋体" w:hAnsi="宋体" w:cs="宋体"/>
                <w:color w:val="000000"/>
                <w:sz w:val="18"/>
                <w:szCs w:val="18"/>
              </w:rPr>
            </w:pPr>
          </w:p>
        </w:tc>
      </w:tr>
      <w:tr w14:paraId="5A8E6F7E">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FE71">
            <w:pPr>
              <w:widowControl/>
              <w:jc w:val="center"/>
              <w:textAlignment w:val="center"/>
              <w:rPr>
                <w:rFonts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bidi="ar"/>
              </w:rPr>
              <w:t>15</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5A26">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音频连接线</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top"/>
          </w:tcPr>
          <w:p w14:paraId="707A49EF">
            <w:pPr>
              <w:spacing w:beforeLines="0" w:afterLines="0"/>
              <w:jc w:val="left"/>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卡侬头(母)</w:t>
            </w:r>
            <w:r>
              <w:rPr>
                <w:rFonts w:hint="eastAsia" w:ascii="宋体" w:hAnsi="宋体"/>
                <w:color w:val="000000"/>
                <w:sz w:val="18"/>
                <w:szCs w:val="24"/>
                <w:lang w:eastAsia="zh-CN"/>
              </w:rPr>
              <w:t>、</w:t>
            </w:r>
            <w:r>
              <w:rPr>
                <w:rFonts w:hint="eastAsia" w:ascii="宋体" w:hAnsi="宋体"/>
                <w:color w:val="000000"/>
                <w:sz w:val="18"/>
                <w:szCs w:val="24"/>
              </w:rPr>
              <w:t>1.8m</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6D5B">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2</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EFDDB">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根</w:t>
            </w:r>
          </w:p>
        </w:tc>
        <w:tc>
          <w:tcPr>
            <w:tcW w:w="801" w:type="dxa"/>
            <w:tcBorders>
              <w:top w:val="single" w:color="000000" w:sz="4" w:space="0"/>
              <w:left w:val="single" w:color="000000" w:sz="4" w:space="0"/>
              <w:bottom w:val="single" w:color="000000" w:sz="4" w:space="0"/>
              <w:right w:val="single" w:color="000000" w:sz="4" w:space="0"/>
            </w:tcBorders>
            <w:vAlign w:val="center"/>
          </w:tcPr>
          <w:p w14:paraId="68D0BAFE">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65B31327">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05A37751">
            <w:pPr>
              <w:jc w:val="center"/>
              <w:rPr>
                <w:rFonts w:ascii="宋体" w:hAnsi="宋体" w:cs="宋体"/>
                <w:color w:val="000000"/>
                <w:sz w:val="18"/>
                <w:szCs w:val="18"/>
              </w:rPr>
            </w:pPr>
          </w:p>
        </w:tc>
      </w:tr>
      <w:tr w14:paraId="65BA1816">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1313">
            <w:pPr>
              <w:widowControl/>
              <w:jc w:val="center"/>
              <w:textAlignment w:val="center"/>
              <w:rPr>
                <w:rFonts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bidi="ar"/>
              </w:rPr>
              <w:t>16</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09FFC">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音频连接线</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top"/>
          </w:tcPr>
          <w:p w14:paraId="36CFCA0D">
            <w:pPr>
              <w:spacing w:beforeLines="0" w:afterLines="0"/>
              <w:jc w:val="left"/>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卡侬头(公)</w:t>
            </w:r>
            <w:r>
              <w:rPr>
                <w:rFonts w:hint="eastAsia" w:ascii="宋体" w:hAnsi="宋体"/>
                <w:color w:val="000000"/>
                <w:sz w:val="18"/>
                <w:szCs w:val="24"/>
                <w:lang w:eastAsia="zh-CN"/>
              </w:rPr>
              <w:t>、</w:t>
            </w:r>
            <w:r>
              <w:rPr>
                <w:rFonts w:hint="eastAsia" w:ascii="宋体" w:hAnsi="宋体"/>
                <w:color w:val="000000"/>
                <w:sz w:val="18"/>
                <w:szCs w:val="24"/>
              </w:rPr>
              <w:t>1.8m</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F4C0">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6</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B009F">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根</w:t>
            </w:r>
          </w:p>
        </w:tc>
        <w:tc>
          <w:tcPr>
            <w:tcW w:w="801" w:type="dxa"/>
            <w:tcBorders>
              <w:top w:val="single" w:color="000000" w:sz="4" w:space="0"/>
              <w:left w:val="single" w:color="000000" w:sz="4" w:space="0"/>
              <w:bottom w:val="single" w:color="000000" w:sz="4" w:space="0"/>
              <w:right w:val="single" w:color="000000" w:sz="4" w:space="0"/>
            </w:tcBorders>
            <w:vAlign w:val="center"/>
          </w:tcPr>
          <w:p w14:paraId="3CBE5D9C">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12344C02">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7F49861F">
            <w:pPr>
              <w:jc w:val="center"/>
              <w:rPr>
                <w:rFonts w:ascii="宋体" w:hAnsi="宋体" w:cs="宋体"/>
                <w:color w:val="000000"/>
                <w:sz w:val="18"/>
                <w:szCs w:val="18"/>
              </w:rPr>
            </w:pPr>
          </w:p>
        </w:tc>
      </w:tr>
      <w:tr w14:paraId="6CF31547">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982B">
            <w:pPr>
              <w:widowControl/>
              <w:jc w:val="center"/>
              <w:textAlignment w:val="center"/>
              <w:rPr>
                <w:rFonts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bidi="ar"/>
              </w:rPr>
              <w:t>17</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C55E">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音频连接线</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top"/>
          </w:tcPr>
          <w:p w14:paraId="0E981846">
            <w:pPr>
              <w:spacing w:beforeLines="0" w:afterLines="0"/>
              <w:jc w:val="left"/>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3.5mm转双6.35mm大单芯</w:t>
            </w:r>
            <w:r>
              <w:rPr>
                <w:rFonts w:hint="eastAsia" w:ascii="宋体" w:hAnsi="宋体"/>
                <w:color w:val="000000"/>
                <w:sz w:val="18"/>
                <w:szCs w:val="24"/>
                <w:lang w:eastAsia="zh-CN"/>
              </w:rPr>
              <w:t>、</w:t>
            </w:r>
            <w:r>
              <w:rPr>
                <w:rFonts w:hint="eastAsia" w:ascii="宋体" w:hAnsi="宋体"/>
                <w:color w:val="000000"/>
                <w:sz w:val="18"/>
                <w:szCs w:val="24"/>
              </w:rPr>
              <w:t>3m</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0F97">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2</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DF50">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根</w:t>
            </w:r>
          </w:p>
        </w:tc>
        <w:tc>
          <w:tcPr>
            <w:tcW w:w="801" w:type="dxa"/>
            <w:tcBorders>
              <w:top w:val="single" w:color="000000" w:sz="4" w:space="0"/>
              <w:left w:val="single" w:color="000000" w:sz="4" w:space="0"/>
              <w:bottom w:val="single" w:color="000000" w:sz="4" w:space="0"/>
              <w:right w:val="single" w:color="000000" w:sz="4" w:space="0"/>
            </w:tcBorders>
            <w:vAlign w:val="center"/>
          </w:tcPr>
          <w:p w14:paraId="08C4CDEA">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15A96F5D">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6EE4DABB">
            <w:pPr>
              <w:jc w:val="center"/>
              <w:rPr>
                <w:rFonts w:ascii="宋体" w:hAnsi="宋体" w:cs="宋体"/>
                <w:color w:val="000000"/>
                <w:sz w:val="18"/>
                <w:szCs w:val="18"/>
              </w:rPr>
            </w:pPr>
          </w:p>
        </w:tc>
      </w:tr>
      <w:tr w14:paraId="0B16D066">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D58E">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kern w:val="0"/>
                <w:sz w:val="18"/>
                <w:szCs w:val="18"/>
                <w:lang w:bidi="ar"/>
              </w:rPr>
              <w:t>18</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D8D8E">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喇叭线</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FBD9">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300芯*2、纯铜</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48B5">
            <w:pPr>
              <w:jc w:val="center"/>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100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3CC2">
            <w:pPr>
              <w:jc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米</w:t>
            </w:r>
          </w:p>
        </w:tc>
        <w:tc>
          <w:tcPr>
            <w:tcW w:w="801" w:type="dxa"/>
            <w:tcBorders>
              <w:top w:val="single" w:color="000000" w:sz="4" w:space="0"/>
              <w:left w:val="single" w:color="000000" w:sz="4" w:space="0"/>
              <w:bottom w:val="single" w:color="000000" w:sz="4" w:space="0"/>
              <w:right w:val="single" w:color="000000" w:sz="4" w:space="0"/>
            </w:tcBorders>
            <w:vAlign w:val="center"/>
          </w:tcPr>
          <w:p w14:paraId="3A0B632E">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179A073B">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363E3506">
            <w:pPr>
              <w:jc w:val="center"/>
              <w:rPr>
                <w:rFonts w:ascii="宋体" w:hAnsi="宋体" w:cs="宋体"/>
                <w:color w:val="000000"/>
                <w:sz w:val="18"/>
                <w:szCs w:val="18"/>
              </w:rPr>
            </w:pPr>
          </w:p>
        </w:tc>
      </w:tr>
      <w:tr w14:paraId="09522CDE">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FE268">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kern w:val="0"/>
                <w:sz w:val="18"/>
                <w:szCs w:val="18"/>
                <w:lang w:bidi="ar"/>
              </w:rPr>
              <w:t>19</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06415">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HDMI线</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949B">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sz w:val="18"/>
                <w:szCs w:val="18"/>
              </w:rPr>
              <w:t>3米/条</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271F">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3</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78D3F">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条</w:t>
            </w:r>
          </w:p>
        </w:tc>
        <w:tc>
          <w:tcPr>
            <w:tcW w:w="801" w:type="dxa"/>
            <w:tcBorders>
              <w:top w:val="single" w:color="000000" w:sz="4" w:space="0"/>
              <w:left w:val="single" w:color="000000" w:sz="4" w:space="0"/>
              <w:bottom w:val="single" w:color="000000" w:sz="4" w:space="0"/>
              <w:right w:val="single" w:color="000000" w:sz="4" w:space="0"/>
            </w:tcBorders>
            <w:vAlign w:val="center"/>
          </w:tcPr>
          <w:p w14:paraId="0C19FC97">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33154AD9">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3FC6D5F4">
            <w:pPr>
              <w:jc w:val="center"/>
              <w:rPr>
                <w:rFonts w:ascii="宋体" w:hAnsi="宋体" w:cs="宋体"/>
                <w:color w:val="000000"/>
                <w:sz w:val="18"/>
                <w:szCs w:val="18"/>
              </w:rPr>
            </w:pPr>
          </w:p>
        </w:tc>
      </w:tr>
      <w:tr w14:paraId="434D72C6">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8094">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kern w:val="0"/>
                <w:sz w:val="18"/>
                <w:szCs w:val="18"/>
                <w:lang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B319">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HDMI线</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A6E4">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sz w:val="18"/>
                <w:szCs w:val="18"/>
              </w:rPr>
              <w:t>15米/条</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5D64">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2</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4612">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条</w:t>
            </w:r>
          </w:p>
        </w:tc>
        <w:tc>
          <w:tcPr>
            <w:tcW w:w="801" w:type="dxa"/>
            <w:tcBorders>
              <w:top w:val="single" w:color="000000" w:sz="4" w:space="0"/>
              <w:left w:val="single" w:color="000000" w:sz="4" w:space="0"/>
              <w:bottom w:val="single" w:color="000000" w:sz="4" w:space="0"/>
              <w:right w:val="single" w:color="000000" w:sz="4" w:space="0"/>
            </w:tcBorders>
            <w:vAlign w:val="center"/>
          </w:tcPr>
          <w:p w14:paraId="6268A28B">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129D0B2C">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23F4B8F3">
            <w:pPr>
              <w:jc w:val="center"/>
              <w:rPr>
                <w:rFonts w:ascii="宋体" w:hAnsi="宋体" w:cs="宋体"/>
                <w:color w:val="000000"/>
                <w:sz w:val="18"/>
                <w:szCs w:val="18"/>
              </w:rPr>
            </w:pPr>
          </w:p>
        </w:tc>
      </w:tr>
      <w:tr w14:paraId="4A11AC04">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9D501">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kern w:val="0"/>
                <w:sz w:val="18"/>
                <w:szCs w:val="18"/>
                <w:lang w:bidi="ar"/>
              </w:rPr>
              <w:t>21</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1249">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六类网线</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B99B">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千兆、非屏蔽</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1928">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6E42">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米</w:t>
            </w:r>
          </w:p>
        </w:tc>
        <w:tc>
          <w:tcPr>
            <w:tcW w:w="801" w:type="dxa"/>
            <w:tcBorders>
              <w:top w:val="single" w:color="000000" w:sz="4" w:space="0"/>
              <w:left w:val="single" w:color="000000" w:sz="4" w:space="0"/>
              <w:bottom w:val="single" w:color="000000" w:sz="4" w:space="0"/>
              <w:right w:val="single" w:color="000000" w:sz="4" w:space="0"/>
            </w:tcBorders>
            <w:vAlign w:val="center"/>
          </w:tcPr>
          <w:p w14:paraId="59C2A3A8">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668F2DD4">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7BF4CD0A">
            <w:pPr>
              <w:jc w:val="center"/>
              <w:rPr>
                <w:rFonts w:ascii="宋体" w:hAnsi="宋体" w:cs="宋体"/>
                <w:color w:val="000000"/>
                <w:sz w:val="18"/>
                <w:szCs w:val="18"/>
              </w:rPr>
            </w:pPr>
          </w:p>
        </w:tc>
      </w:tr>
      <w:tr w14:paraId="642E82E0">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D8218">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kern w:val="0"/>
                <w:sz w:val="18"/>
                <w:szCs w:val="18"/>
                <w:lang w:bidi="ar"/>
              </w:rPr>
              <w:t>22</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C512C">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电源护套线</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05A5">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RVV3*1.5铜芯护套线</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38CA5">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1DA1">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米</w:t>
            </w:r>
          </w:p>
        </w:tc>
        <w:tc>
          <w:tcPr>
            <w:tcW w:w="801" w:type="dxa"/>
            <w:tcBorders>
              <w:top w:val="single" w:color="000000" w:sz="4" w:space="0"/>
              <w:left w:val="single" w:color="000000" w:sz="4" w:space="0"/>
              <w:bottom w:val="single" w:color="000000" w:sz="4" w:space="0"/>
              <w:right w:val="single" w:color="000000" w:sz="4" w:space="0"/>
            </w:tcBorders>
            <w:vAlign w:val="center"/>
          </w:tcPr>
          <w:p w14:paraId="58CE6124">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15B53CC3">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24E9BF7A">
            <w:pPr>
              <w:jc w:val="center"/>
              <w:rPr>
                <w:rFonts w:ascii="宋体" w:hAnsi="宋体" w:cs="宋体"/>
                <w:color w:val="000000"/>
                <w:sz w:val="18"/>
                <w:szCs w:val="18"/>
              </w:rPr>
            </w:pPr>
          </w:p>
        </w:tc>
      </w:tr>
      <w:tr w14:paraId="2FE23795">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C046C">
            <w:pPr>
              <w:widowControl/>
              <w:jc w:val="center"/>
              <w:textAlignment w:val="center"/>
              <w:rPr>
                <w:rFonts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bidi="ar"/>
              </w:rPr>
              <w:t>23</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FAE3">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PVC线管</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C67B">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A管,DN25</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F37E">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80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130B">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米</w:t>
            </w:r>
          </w:p>
        </w:tc>
        <w:tc>
          <w:tcPr>
            <w:tcW w:w="801" w:type="dxa"/>
            <w:tcBorders>
              <w:top w:val="single" w:color="000000" w:sz="4" w:space="0"/>
              <w:left w:val="single" w:color="000000" w:sz="4" w:space="0"/>
              <w:bottom w:val="single" w:color="000000" w:sz="4" w:space="0"/>
              <w:right w:val="single" w:color="000000" w:sz="4" w:space="0"/>
            </w:tcBorders>
            <w:vAlign w:val="center"/>
          </w:tcPr>
          <w:p w14:paraId="18EEA22D">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0819D18C">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007AB5E1">
            <w:pPr>
              <w:jc w:val="center"/>
              <w:rPr>
                <w:rFonts w:ascii="宋体" w:hAnsi="宋体" w:cs="宋体"/>
                <w:color w:val="000000"/>
                <w:sz w:val="18"/>
                <w:szCs w:val="18"/>
              </w:rPr>
            </w:pPr>
          </w:p>
        </w:tc>
      </w:tr>
      <w:tr w14:paraId="0C850C6A">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F201">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24</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45BA">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辅材</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BD2B5">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水晶头</w:t>
            </w:r>
            <w:r>
              <w:rPr>
                <w:rFonts w:hint="eastAsia" w:ascii="宋体" w:hAnsi="宋体" w:cs="宋体"/>
                <w:color w:val="000000"/>
                <w:sz w:val="18"/>
                <w:szCs w:val="18"/>
                <w:lang w:eastAsia="zh-CN"/>
              </w:rPr>
              <w:t>、</w:t>
            </w:r>
            <w:r>
              <w:rPr>
                <w:rFonts w:hint="eastAsia" w:ascii="宋体" w:hAnsi="宋体" w:cs="宋体"/>
                <w:color w:val="000000"/>
                <w:sz w:val="18"/>
                <w:szCs w:val="18"/>
              </w:rPr>
              <w:t>连接线等</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A1D45">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1</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22A5">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批</w:t>
            </w:r>
          </w:p>
        </w:tc>
        <w:tc>
          <w:tcPr>
            <w:tcW w:w="801" w:type="dxa"/>
            <w:tcBorders>
              <w:top w:val="single" w:color="000000" w:sz="4" w:space="0"/>
              <w:left w:val="single" w:color="000000" w:sz="4" w:space="0"/>
              <w:bottom w:val="single" w:color="000000" w:sz="4" w:space="0"/>
              <w:right w:val="single" w:color="000000" w:sz="4" w:space="0"/>
            </w:tcBorders>
            <w:vAlign w:val="center"/>
          </w:tcPr>
          <w:p w14:paraId="65C10221">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5438E553">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58FCCDD2">
            <w:pPr>
              <w:jc w:val="center"/>
              <w:rPr>
                <w:rFonts w:ascii="宋体" w:hAnsi="宋体" w:cs="宋体"/>
                <w:color w:val="000000"/>
                <w:sz w:val="18"/>
                <w:szCs w:val="18"/>
              </w:rPr>
            </w:pPr>
          </w:p>
        </w:tc>
      </w:tr>
      <w:tr w14:paraId="21D4C64D">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3C7E">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62DF">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安装调试</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A0EEC">
            <w:pPr>
              <w:jc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C34D">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1</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F34D">
            <w:pPr>
              <w:jc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项</w:t>
            </w:r>
          </w:p>
        </w:tc>
        <w:tc>
          <w:tcPr>
            <w:tcW w:w="801" w:type="dxa"/>
            <w:tcBorders>
              <w:top w:val="single" w:color="000000" w:sz="4" w:space="0"/>
              <w:left w:val="single" w:color="000000" w:sz="4" w:space="0"/>
              <w:bottom w:val="single" w:color="000000" w:sz="4" w:space="0"/>
              <w:right w:val="single" w:color="000000" w:sz="4" w:space="0"/>
            </w:tcBorders>
            <w:vAlign w:val="center"/>
          </w:tcPr>
          <w:p w14:paraId="037F7E27">
            <w:pPr>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vAlign w:val="center"/>
          </w:tcPr>
          <w:p w14:paraId="3E0483FC">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26AA2AD1">
            <w:pPr>
              <w:jc w:val="center"/>
              <w:rPr>
                <w:rFonts w:ascii="宋体" w:hAnsi="宋体" w:cs="宋体"/>
                <w:color w:val="000000"/>
                <w:sz w:val="18"/>
                <w:szCs w:val="18"/>
              </w:rPr>
            </w:pPr>
          </w:p>
        </w:tc>
      </w:tr>
      <w:tr w14:paraId="50633FEF">
        <w:tblPrEx>
          <w:tblCellMar>
            <w:top w:w="15" w:type="dxa"/>
            <w:left w:w="15" w:type="dxa"/>
            <w:bottom w:w="15" w:type="dxa"/>
            <w:right w:w="15"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1559">
            <w:pPr>
              <w:widowControl/>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26</w:t>
            </w:r>
          </w:p>
        </w:tc>
        <w:tc>
          <w:tcPr>
            <w:tcW w:w="5742" w:type="dxa"/>
            <w:gridSpan w:val="5"/>
            <w:tcBorders>
              <w:top w:val="single" w:color="000000" w:sz="4" w:space="0"/>
              <w:left w:val="single" w:color="000000" w:sz="4" w:space="0"/>
              <w:bottom w:val="single" w:color="000000" w:sz="4" w:space="0"/>
              <w:right w:val="single" w:color="000000" w:sz="4" w:space="0"/>
            </w:tcBorders>
            <w:vAlign w:val="center"/>
          </w:tcPr>
          <w:p w14:paraId="3ADDF8E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968" w:type="dxa"/>
            <w:tcBorders>
              <w:top w:val="single" w:color="000000" w:sz="4" w:space="0"/>
              <w:left w:val="single" w:color="000000" w:sz="4" w:space="0"/>
              <w:bottom w:val="single" w:color="000000" w:sz="4" w:space="0"/>
              <w:right w:val="single" w:color="000000" w:sz="4" w:space="0"/>
            </w:tcBorders>
            <w:vAlign w:val="center"/>
          </w:tcPr>
          <w:p w14:paraId="52EB0671">
            <w:pPr>
              <w:jc w:val="center"/>
              <w:rPr>
                <w:rFonts w:ascii="宋体" w:hAnsi="宋体" w:cs="宋体"/>
                <w:color w:val="000000"/>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61FD64E5">
            <w:pPr>
              <w:jc w:val="center"/>
              <w:rPr>
                <w:rFonts w:ascii="宋体" w:hAnsi="宋体" w:cs="宋体"/>
                <w:color w:val="000000"/>
                <w:sz w:val="18"/>
                <w:szCs w:val="18"/>
              </w:rPr>
            </w:pPr>
          </w:p>
        </w:tc>
      </w:tr>
    </w:tbl>
    <w:p w14:paraId="341E26C3">
      <w:pPr>
        <w:jc w:val="left"/>
        <w:rPr>
          <w:rFonts w:ascii="仿宋_GB2312" w:hAnsi="宋体" w:eastAsia="仿宋_GB2312"/>
          <w:color w:val="000000"/>
          <w:sz w:val="24"/>
          <w:szCs w:val="24"/>
        </w:rPr>
      </w:pPr>
    </w:p>
    <w:p w14:paraId="5716273C">
      <w:pPr>
        <w:widowControl/>
        <w:jc w:val="left"/>
        <w:rPr>
          <w:rFonts w:ascii="宋体" w:cs="宋体"/>
          <w:color w:val="FF0000"/>
          <w:kern w:val="0"/>
          <w:szCs w:val="21"/>
        </w:rPr>
      </w:pPr>
    </w:p>
    <w:p w14:paraId="39D6188D">
      <w:pPr>
        <w:widowControl/>
        <w:jc w:val="left"/>
        <w:rPr>
          <w:rFonts w:ascii="宋体" w:cs="宋体"/>
          <w:color w:val="FF0000"/>
          <w:kern w:val="0"/>
          <w:szCs w:val="21"/>
        </w:rPr>
      </w:pPr>
      <w:bookmarkStart w:id="0" w:name="_GoBack"/>
      <w:bookmarkEnd w:id="0"/>
    </w:p>
    <w:p w14:paraId="306CA580">
      <w:pPr>
        <w:widowControl/>
        <w:jc w:val="left"/>
        <w:rPr>
          <w:rFonts w:ascii="宋体" w:cs="宋体"/>
          <w:color w:val="FF0000"/>
          <w:kern w:val="0"/>
          <w:szCs w:val="21"/>
        </w:rPr>
      </w:pPr>
    </w:p>
    <w:p w14:paraId="36793821">
      <w:pPr>
        <w:widowControl/>
        <w:jc w:val="left"/>
        <w:rPr>
          <w:rFonts w:ascii="宋体" w:cs="宋体"/>
          <w:color w:val="FF0000"/>
          <w:kern w:val="0"/>
          <w:szCs w:val="21"/>
        </w:rPr>
      </w:pPr>
    </w:p>
    <w:p w14:paraId="5759788A">
      <w:pPr>
        <w:widowControl/>
        <w:jc w:val="left"/>
        <w:rPr>
          <w:rFonts w:asciiTheme="minorEastAsia" w:hAnsiTheme="minorEastAsia" w:eastAsiaTheme="minorEastAsia" w:cstheme="minorEastAsia"/>
          <w:b/>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14:textFill>
            <w14:solidFill>
              <w14:schemeClr w14:val="tx1"/>
            </w14:solidFill>
          </w14:textFill>
        </w:rPr>
        <w:t>技术参数：</w:t>
      </w:r>
    </w:p>
    <w:p w14:paraId="27D64368">
      <w:pPr>
        <w:spacing w:line="460" w:lineRule="atLeast"/>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1、高清视频无缝切换矩阵</w:t>
      </w:r>
    </w:p>
    <w:p w14:paraId="265AC54E">
      <w:pPr>
        <w:spacing w:line="460" w:lineRule="atLeast"/>
        <w:rPr>
          <w:rFonts w:asciiTheme="minorEastAsia" w:hAnsiTheme="minorEastAsia" w:eastAsiaTheme="minorEastAsia" w:cstheme="minorEastAsia"/>
          <w:color w:val="000000"/>
          <w:szCs w:val="21"/>
        </w:rPr>
      </w:pPr>
      <w:r>
        <w:rPr>
          <w:rFonts w:asciiTheme="minorEastAsia" w:hAnsiTheme="minorEastAsia" w:eastAsiaTheme="minorEastAsia" w:cstheme="minorEastAsia"/>
          <w:color w:val="000000"/>
          <w:szCs w:val="21"/>
        </w:rPr>
        <w:t>1.</w:t>
      </w:r>
      <w:r>
        <w:rPr>
          <w:rFonts w:hint="eastAsia" w:asciiTheme="minorEastAsia" w:hAnsiTheme="minorEastAsia" w:eastAsiaTheme="minorEastAsia" w:cstheme="minorEastAsia"/>
          <w:color w:val="000000"/>
          <w:szCs w:val="21"/>
        </w:rPr>
        <w:t>1数字视频输入：≥8×HDMI数字视频输入接口</w:t>
      </w:r>
    </w:p>
    <w:p w14:paraId="034FF710">
      <w:pPr>
        <w:spacing w:line="460" w:lineRule="atLeast"/>
        <w:rPr>
          <w:rFonts w:asciiTheme="minorEastAsia" w:hAnsiTheme="minorEastAsia" w:eastAsiaTheme="minorEastAsia" w:cstheme="minorEastAsia"/>
          <w:color w:val="000000"/>
          <w:szCs w:val="21"/>
        </w:rPr>
      </w:pPr>
      <w:r>
        <w:rPr>
          <w:rFonts w:asciiTheme="minorEastAsia" w:hAnsiTheme="minorEastAsia" w:eastAsiaTheme="minorEastAsia" w:cstheme="minorEastAsia"/>
          <w:color w:val="000000"/>
          <w:szCs w:val="21"/>
        </w:rPr>
        <w:t>1.</w:t>
      </w:r>
      <w:r>
        <w:rPr>
          <w:rFonts w:hint="eastAsia" w:asciiTheme="minorEastAsia" w:hAnsiTheme="minorEastAsia" w:eastAsiaTheme="minorEastAsia" w:cstheme="minorEastAsia"/>
          <w:color w:val="000000"/>
          <w:szCs w:val="21"/>
        </w:rPr>
        <w:t>2数字视频输出：≥8×HDMI数字视频输出接口</w:t>
      </w:r>
    </w:p>
    <w:p w14:paraId="2DC5DD5B">
      <w:pPr>
        <w:spacing w:line="460" w:lineRule="atLeast"/>
        <w:rPr>
          <w:rFonts w:asciiTheme="minorEastAsia" w:hAnsiTheme="minorEastAsia" w:eastAsiaTheme="minorEastAsia" w:cstheme="minorEastAsia"/>
          <w:color w:val="000000"/>
          <w:szCs w:val="21"/>
        </w:rPr>
      </w:pPr>
      <w:r>
        <w:rPr>
          <w:rFonts w:asciiTheme="minorEastAsia" w:hAnsiTheme="minorEastAsia" w:eastAsiaTheme="minorEastAsia" w:cstheme="minorEastAsia"/>
          <w:color w:val="000000"/>
          <w:szCs w:val="21"/>
        </w:rPr>
        <w:t>1.3</w:t>
      </w:r>
      <w:r>
        <w:rPr>
          <w:rFonts w:hint="eastAsia" w:asciiTheme="minorEastAsia" w:hAnsiTheme="minorEastAsia" w:eastAsiaTheme="minorEastAsia" w:cstheme="minorEastAsia"/>
          <w:color w:val="000000"/>
          <w:szCs w:val="21"/>
        </w:rPr>
        <w:t>通讯接口：≥1×RS-232、≥1×RS-485、≥1×网口</w:t>
      </w:r>
    </w:p>
    <w:p w14:paraId="1AC9BCE9">
      <w:pPr>
        <w:spacing w:line="460" w:lineRule="atLeast"/>
        <w:rPr>
          <w:rFonts w:asciiTheme="minorEastAsia" w:hAnsiTheme="minorEastAsia" w:eastAsiaTheme="minorEastAsia" w:cstheme="minorEastAsia"/>
          <w:color w:val="000000"/>
          <w:szCs w:val="21"/>
        </w:rPr>
      </w:pPr>
      <w:r>
        <w:rPr>
          <w:rFonts w:asciiTheme="minorEastAsia" w:hAnsiTheme="minorEastAsia" w:eastAsiaTheme="minorEastAsia" w:cstheme="minorEastAsia"/>
          <w:color w:val="000000"/>
          <w:szCs w:val="21"/>
        </w:rPr>
        <w:t>1.4</w:t>
      </w:r>
      <w:r>
        <w:rPr>
          <w:rFonts w:hint="eastAsia" w:asciiTheme="minorEastAsia" w:hAnsiTheme="minorEastAsia" w:eastAsiaTheme="minorEastAsia" w:cstheme="minorEastAsia"/>
          <w:color w:val="000000"/>
          <w:szCs w:val="21"/>
        </w:rPr>
        <w:t>升级：≥1×UPDATE升级接口</w:t>
      </w:r>
    </w:p>
    <w:p w14:paraId="486100C0">
      <w:pPr>
        <w:spacing w:line="460" w:lineRule="atLeast"/>
        <w:rPr>
          <w:rFonts w:asciiTheme="minorEastAsia" w:hAnsiTheme="minorEastAsia" w:eastAsiaTheme="minorEastAsia" w:cstheme="minorEastAsia"/>
          <w:color w:val="000000"/>
          <w:szCs w:val="21"/>
        </w:rPr>
      </w:pPr>
      <w:r>
        <w:rPr>
          <w:rFonts w:asciiTheme="minorEastAsia" w:hAnsiTheme="minorEastAsia" w:eastAsiaTheme="minorEastAsia" w:cstheme="minorEastAsia"/>
          <w:color w:val="000000"/>
          <w:szCs w:val="21"/>
        </w:rPr>
        <w:t>1.5</w:t>
      </w:r>
      <w:r>
        <w:rPr>
          <w:rFonts w:hint="eastAsia" w:asciiTheme="minorEastAsia" w:hAnsiTheme="minorEastAsia" w:eastAsiaTheme="minorEastAsia" w:cstheme="minorEastAsia"/>
          <w:color w:val="000000"/>
          <w:szCs w:val="21"/>
        </w:rPr>
        <w:t>指示灯：≥1×电源指示灯、≥1×信号执行灯</w:t>
      </w:r>
    </w:p>
    <w:p w14:paraId="2FD7AC35">
      <w:pPr>
        <w:spacing w:line="460" w:lineRule="atLeast"/>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2、数字调音台</w:t>
      </w:r>
    </w:p>
    <w:p w14:paraId="6DAEB155">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2.1立体声8Ω ：500W×4</w:t>
      </w:r>
    </w:p>
    <w:p w14:paraId="523CFC2B">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2.2立体声4Ω：850W×4</w:t>
      </w:r>
    </w:p>
    <w:p w14:paraId="6267562C">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 xml:space="preserve">2.3桥接8Ω：1700W </w:t>
      </w:r>
    </w:p>
    <w:p w14:paraId="34C58C05">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2.4输入灵敏度:2.2dBu(1V)/8.2dBu(2V)</w:t>
      </w:r>
    </w:p>
    <w:p w14:paraId="38B6571F">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 xml:space="preserve">2.5输入阻抗:10KΩ </w:t>
      </w:r>
    </w:p>
    <w:p w14:paraId="3CAF8226">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 xml:space="preserve">2.6阻尼系数(@1KHz) :≥200@ 8 ohms </w:t>
      </w:r>
    </w:p>
    <w:p w14:paraId="6CF52274">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2.7信噪比（A计权）:≥100dB</w:t>
      </w:r>
    </w:p>
    <w:p w14:paraId="09882B5D">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2.8整机功耗:≤600W</w:t>
      </w:r>
    </w:p>
    <w:p w14:paraId="7881EB41">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2.9支持中、英文界面切换，且无需重启。</w:t>
      </w:r>
    </w:p>
    <w:p w14:paraId="22AF87AB">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w:t>
      </w:r>
      <w:r>
        <w:rPr>
          <w:rFonts w:asciiTheme="minorEastAsia" w:hAnsiTheme="minorEastAsia" w:eastAsiaTheme="minorEastAsia" w:cstheme="minorEastAsia"/>
          <w:color w:val="000000"/>
          <w:szCs w:val="21"/>
        </w:rPr>
        <w:t>10</w:t>
      </w:r>
      <w:r>
        <w:rPr>
          <w:rFonts w:hint="eastAsia" w:asciiTheme="minorEastAsia" w:hAnsiTheme="minorEastAsia" w:eastAsiaTheme="minorEastAsia" w:cstheme="minorEastAsia"/>
          <w:color w:val="000000"/>
          <w:szCs w:val="21"/>
        </w:rPr>
        <w:t>输入带有独立的反馈抑制器，支持增益共享型自动混音， 带有≥2个DCA编组。</w:t>
      </w:r>
    </w:p>
    <w:p w14:paraId="3325286A">
      <w:pPr>
        <w:spacing w:line="460" w:lineRule="atLeast"/>
        <w:rPr>
          <w:rFonts w:asciiTheme="minorEastAsia" w:hAnsiTheme="minorEastAsia" w:eastAsiaTheme="minorEastAsia" w:cstheme="minorEastAsia"/>
          <w:color w:val="000000"/>
          <w:szCs w:val="21"/>
        </w:rPr>
      </w:pPr>
      <w:r>
        <w:rPr>
          <w:rFonts w:asciiTheme="minorEastAsia" w:hAnsiTheme="minorEastAsia" w:eastAsiaTheme="minorEastAsia" w:cstheme="minorEastAsia"/>
          <w:color w:val="000000"/>
          <w:szCs w:val="21"/>
        </w:rPr>
        <w:t>3.11</w:t>
      </w:r>
      <w:r>
        <w:rPr>
          <w:rFonts w:hint="eastAsia" w:asciiTheme="minorEastAsia" w:hAnsiTheme="minorEastAsia" w:eastAsiaTheme="minorEastAsia" w:cstheme="minorEastAsia"/>
          <w:color w:val="000000"/>
          <w:szCs w:val="21"/>
        </w:rPr>
        <w:t>具有≥2个内置效果器，自带有经典混响、大房间混响等效果模块；FX音效可使用专用的返回通道返回到混音且不占用单声道和立体声输入通道。</w:t>
      </w:r>
    </w:p>
    <w:p w14:paraId="60CB3682">
      <w:pPr>
        <w:spacing w:line="460" w:lineRule="atLeast"/>
        <w:rPr>
          <w:rFonts w:hint="eastAsia"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lang w:val="en-US" w:eastAsia="zh-CN"/>
        </w:rPr>
        <w:t>3</w:t>
      </w:r>
      <w:r>
        <w:rPr>
          <w:rFonts w:hint="eastAsia" w:asciiTheme="minorEastAsia" w:hAnsiTheme="minorEastAsia" w:eastAsiaTheme="minorEastAsia" w:cstheme="minorEastAsia"/>
          <w:b/>
          <w:bCs/>
          <w:color w:val="000000"/>
          <w:szCs w:val="21"/>
        </w:rPr>
        <w:t>、Ai音频处理器</w:t>
      </w:r>
    </w:p>
    <w:p w14:paraId="5424721B">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lang w:val="en-US" w:eastAsia="zh-CN"/>
        </w:rPr>
        <w:t>3</w:t>
      </w:r>
      <w:r>
        <w:rPr>
          <w:rFonts w:hint="eastAsia" w:asciiTheme="minorEastAsia" w:hAnsiTheme="minorEastAsia" w:eastAsiaTheme="minorEastAsia" w:cstheme="minorEastAsia"/>
          <w:color w:val="000000"/>
          <w:szCs w:val="21"/>
        </w:rPr>
        <w:t>.1输入：至少8路平衡式XLR/TRS组合输入接口、2路TRS单声道高阻输入接口、2组TRS立体声输入接口、2路USB3.0输入声卡；</w:t>
      </w:r>
    </w:p>
    <w:p w14:paraId="3B52231D">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lang w:val="en-US" w:eastAsia="zh-CN"/>
        </w:rPr>
        <w:t>3</w:t>
      </w:r>
      <w:r>
        <w:rPr>
          <w:rFonts w:hint="eastAsia" w:asciiTheme="minorEastAsia" w:hAnsiTheme="minorEastAsia" w:eastAsiaTheme="minorEastAsia" w:cstheme="minorEastAsia"/>
          <w:color w:val="000000"/>
          <w:szCs w:val="21"/>
        </w:rPr>
        <w:t>.2输出：至少1组立体主输出、4路AUX辅助输出、1路TRS监听输出；</w:t>
      </w:r>
    </w:p>
    <w:p w14:paraId="30C98E8A">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lang w:val="en-US" w:eastAsia="zh-CN"/>
        </w:rPr>
        <w:t>3</w:t>
      </w:r>
      <w:r>
        <w:rPr>
          <w:rFonts w:hint="eastAsia" w:asciiTheme="minorEastAsia" w:hAnsiTheme="minorEastAsia" w:eastAsiaTheme="minorEastAsia" w:cstheme="minorEastAsia"/>
          <w:color w:val="000000"/>
          <w:szCs w:val="21"/>
        </w:rPr>
        <w:t>.3信噪比：-90dBu；</w:t>
      </w:r>
    </w:p>
    <w:p w14:paraId="4943E9E0">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lang w:val="en-US" w:eastAsia="zh-CN"/>
        </w:rPr>
        <w:t>3</w:t>
      </w:r>
      <w:r>
        <w:rPr>
          <w:rFonts w:hint="eastAsia" w:asciiTheme="minorEastAsia" w:hAnsiTheme="minorEastAsia" w:eastAsiaTheme="minorEastAsia" w:cstheme="minorEastAsia"/>
          <w:color w:val="000000"/>
          <w:szCs w:val="21"/>
        </w:rPr>
        <w:t>.4屏幕：高清触摸屏，≥1024×600分辨率；</w:t>
      </w:r>
    </w:p>
    <w:p w14:paraId="30047FF6">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lang w:val="en-US" w:eastAsia="zh-CN"/>
        </w:rPr>
        <w:t>3</w:t>
      </w:r>
      <w:r>
        <w:rPr>
          <w:rFonts w:hint="eastAsia" w:asciiTheme="minorEastAsia" w:hAnsiTheme="minorEastAsia" w:eastAsiaTheme="minorEastAsia" w:cstheme="minorEastAsia"/>
          <w:color w:val="000000"/>
          <w:szCs w:val="21"/>
        </w:rPr>
        <w:t>.5频率响应(20Hz～20KHz)：20Hz~20kHz ,±0.2dB</w:t>
      </w:r>
    </w:p>
    <w:p w14:paraId="0B6BB794">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lang w:val="en-US" w:eastAsia="zh-CN"/>
        </w:rPr>
        <w:t>3</w:t>
      </w:r>
      <w:r>
        <w:rPr>
          <w:rFonts w:hint="eastAsia" w:asciiTheme="minorEastAsia" w:hAnsiTheme="minorEastAsia" w:eastAsiaTheme="minorEastAsia" w:cstheme="minorEastAsia"/>
          <w:color w:val="000000"/>
          <w:szCs w:val="21"/>
        </w:rPr>
        <w:t>.6电源功耗：≤30W</w:t>
      </w:r>
    </w:p>
    <w:p w14:paraId="5B76BB9C">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lang w:val="en-US" w:eastAsia="zh-CN"/>
        </w:rPr>
        <w:t>3</w:t>
      </w:r>
      <w:r>
        <w:rPr>
          <w:rFonts w:hint="eastAsia" w:asciiTheme="minorEastAsia" w:hAnsiTheme="minorEastAsia" w:eastAsiaTheme="minorEastAsia" w:cstheme="minorEastAsia"/>
          <w:color w:val="000000"/>
          <w:szCs w:val="21"/>
        </w:rPr>
        <w:t>.7具有话筒自动增益功能，用于控制话筒的拾音信号的动态范围，实现远近音质一致。</w:t>
      </w:r>
    </w:p>
    <w:p w14:paraId="75082DA1">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lang w:val="en-US" w:eastAsia="zh-CN"/>
        </w:rPr>
        <w:t>3</w:t>
      </w:r>
      <w:r>
        <w:rPr>
          <w:rFonts w:hint="eastAsia" w:asciiTheme="minorEastAsia" w:hAnsiTheme="minorEastAsia" w:eastAsiaTheme="minorEastAsia" w:cstheme="minorEastAsia"/>
          <w:color w:val="000000"/>
          <w:szCs w:val="21"/>
        </w:rPr>
        <w:t>.8具有智能混音功能，包括增益共享混音以及门限自动混音两种方式，输入通道可单独选择是否参与智能混音，可根据不同的场景应用需求，选择相应的混音模式。可有效解决话筒多开导致扩声系统不稳定容易啸叫等痛点。</w:t>
      </w:r>
    </w:p>
    <w:p w14:paraId="55CB7126">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lang w:val="en-US" w:eastAsia="zh-CN"/>
        </w:rPr>
        <w:t>3</w:t>
      </w:r>
      <w:r>
        <w:rPr>
          <w:rFonts w:hint="eastAsia" w:asciiTheme="minorEastAsia" w:hAnsiTheme="minorEastAsia" w:eastAsiaTheme="minorEastAsia" w:cstheme="minorEastAsia"/>
          <w:color w:val="000000"/>
          <w:szCs w:val="21"/>
        </w:rPr>
        <w:t>.9具有均衡器功能，提供参量均衡器和图示均衡器，每路输入具有≥12段参量均衡器/10段图示均衡器/15段图示均衡器/31段图示均衡器可供选择，每路输出具有≥16段参量均衡器/10段图示均衡器/15段图示均衡器/31段图示均衡器可供选择。参量均衡器支持高架、低架、峰值滤波器三种类型，图示均衡器支持单点带宽调节。</w:t>
      </w:r>
    </w:p>
    <w:p w14:paraId="613F7BA1">
      <w:pPr>
        <w:spacing w:line="460" w:lineRule="atLeas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lang w:val="en-US" w:eastAsia="zh-CN"/>
        </w:rPr>
        <w:t>3</w:t>
      </w:r>
      <w:r>
        <w:rPr>
          <w:rFonts w:hint="eastAsia" w:asciiTheme="minorEastAsia" w:hAnsiTheme="minorEastAsia" w:eastAsiaTheme="minorEastAsia" w:cstheme="minorEastAsia"/>
          <w:color w:val="000000"/>
          <w:szCs w:val="21"/>
        </w:rPr>
        <w:t>.10具有分频器功能，提供贝塞尔、林克威治-瑞利、巴特沃斯三种滤波器类型供选择，并且支持6/12/18/24/30/36/42/48db/oct斜率设置，滤波器全频段可调。</w:t>
      </w:r>
    </w:p>
    <w:p w14:paraId="6FA1C1DC">
      <w:pPr>
        <w:spacing w:line="460" w:lineRule="atLeast"/>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4、无线话筒</w:t>
      </w:r>
    </w:p>
    <w:p w14:paraId="2AE6F904">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4.1高性能音频处理器，具有自适应降噪（ANS）、AI智能降噪、自适应回声消除（AEC）、音频滤波器（GEQ、PEQ、分频器）等功能。</w:t>
      </w:r>
    </w:p>
    <w:p w14:paraId="5BC1A96A">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4.2具有回声消除功能，用于远程音视频会议，消除回声，增加语音清晰度；回声消除可以根据视频会场（房间）大小选择不同档位（具有小房间、中房间、大房间）三挡可选；可调节降噪等级。</w:t>
      </w:r>
    </w:p>
    <w:p w14:paraId="32143B0D">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4.3输入通道支持前级放大、信号发生器、扩展器、压缩器、均衡器、闪避器、AEC回声消除、ANC噪声消除。</w:t>
      </w:r>
    </w:p>
    <w:p w14:paraId="2A0F82AA">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4.4具有话筒自动增益功能，用于控制话筒的拾音信号的动态范围，实现远近音质一致。</w:t>
      </w:r>
    </w:p>
    <w:p w14:paraId="40FA2368">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4.5相应的混音模式。可有效解决话筒多开导致扩声系统不稳定容易啸叫等痛点。</w:t>
      </w:r>
    </w:p>
    <w:p w14:paraId="30A3F0F1">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4.6具有扩展器功能，扩展信号的动态范围，用于消除设备的底噪。</w:t>
      </w:r>
    </w:p>
    <w:p w14:paraId="1D693850">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4.7具有噪声消除功能，可以有效消除空调声、风扇声等环境噪声，提高语音清晰度稳态降噪等级可根据现场需求调节不同档位。</w:t>
      </w:r>
    </w:p>
    <w:p w14:paraId="4EBD7DEE">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4.8具有反馈抑制功能，陷波器+移频器两种处理方案，有效解决声反馈问题。</w:t>
      </w:r>
    </w:p>
    <w:p w14:paraId="677A1FDE">
      <w:pPr>
        <w:spacing w:line="460" w:lineRule="atLeast"/>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5、全数字会议系统主机</w:t>
      </w:r>
    </w:p>
    <w:p w14:paraId="4B7CF5CA">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5.1采样率48K的非压缩音频传输。采用超五类线屏蔽线，确保会议信息长距离可靠传输，同时提供完美音质。</w:t>
      </w:r>
    </w:p>
    <w:p w14:paraId="13EE1D27">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5.2设备采用分段压缩混音处理技术和时钟同步传输技术，会议单元拾音到主机输出延时≤5ms。</w:t>
      </w:r>
    </w:p>
    <w:p w14:paraId="30E121AF">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5.3内置DSP处理器，具有≥16路音频矩阵、啸叫抑制、≥10段EQ调节、音量dB值调节、延时器调节功能。</w:t>
      </w:r>
    </w:p>
    <w:p w14:paraId="47D5F91C">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5.4支持主机U盘和客户端软件两种录音方式；搭配会议单元和采集器可以录制单个会议单元发言音频和录制所有会议单元混音发言音频。</w:t>
      </w:r>
    </w:p>
    <w:p w14:paraId="76C28C66">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5.5设备具有≥1个USB接口；后面板具有≥2路RS-232接口、≥1路RS-485接口、≥4路RJ45通讯接口；具有≥1路RCA输入、≥1路卡侬输入、≥2路凤凰端子输入接口；≥1路RCA输出、≥1路卡侬输出、≥16路凤凰端子输出接口；≥1个拨码开关、≥1个接地柱。</w:t>
      </w:r>
    </w:p>
    <w:p w14:paraId="20910E1B">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5.6具有≥16路音频输出通道，通过扩展可实现≥272个音频输出通道，音频输出通道可配置为有线角色分离输出模式、无线角色分离输出模式、同传输出模式；每个音频输出通道都能独立调节音频参数，包括≥30级音量调节、≥10段均衡器调节、≥100级延时器调节功能。</w:t>
      </w:r>
    </w:p>
    <w:p w14:paraId="0B8CB77C">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5.</w:t>
      </w:r>
      <w:r>
        <w:rPr>
          <w:rFonts w:hint="eastAsia" w:asciiTheme="minorEastAsia" w:hAnsiTheme="minorEastAsia" w:eastAsiaTheme="minorEastAsia" w:cstheme="minorEastAsia"/>
          <w:color w:val="000000"/>
          <w:szCs w:val="21"/>
          <w:lang w:val="en-US" w:eastAsia="zh-CN"/>
        </w:rPr>
        <w:t>7</w:t>
      </w:r>
      <w:r>
        <w:rPr>
          <w:rFonts w:hint="eastAsia" w:asciiTheme="minorEastAsia" w:hAnsiTheme="minorEastAsia" w:eastAsiaTheme="minorEastAsia" w:cstheme="minorEastAsia"/>
          <w:color w:val="000000"/>
          <w:szCs w:val="21"/>
        </w:rPr>
        <w:t>支持搭配会议话筒处理器使用，主机与话筒处理器之间通过网线连接方式传输音频，可以同时传输≥16路有线会议单元和≥8路无线会议单元发言的音频信号，并提供反馈抑制、智能混音以及自动增益音频调节处理功能。</w:t>
      </w:r>
    </w:p>
    <w:p w14:paraId="0908DB23">
      <w:pPr>
        <w:spacing w:line="460" w:lineRule="atLeast"/>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6、AI反馈抑制器</w:t>
      </w:r>
    </w:p>
    <w:p w14:paraId="48465C88">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6.1高性能 64-bit DPS处理器（1.3GHZ主频）,高精度 32-bit/48kHz AD/DA，专业的DSP处理，提供卓越高品质声音。</w:t>
      </w:r>
    </w:p>
    <w:p w14:paraId="4E5897F6">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6.2设备配置≥2个完全独立的反馈抑制通道，每通道均支持自适应反馈抑制（AFC）功能，传声增益提升6dB~12dB，可分别处理不同声源信号（如主讲麦克风与观众席拾音），避免多麦克风场景下的交叉啸叫干扰。提供高/中/低三档输入电平调节，适配动圈麦（低灵敏度）、电容麦（高灵敏度）及混合麦克风阵列的会议场景。</w:t>
      </w:r>
    </w:p>
    <w:p w14:paraId="37CA87F1">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6.3支持声场校正按钮，按下按钮播放≥10秒的粉噪，同时收录经过房间的声音，经过计算后自动调整参量均衡器参数实现声学校正效果。</w:t>
      </w:r>
    </w:p>
    <w:p w14:paraId="6FCDFEA4">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6.4具有≥2个独立通道，每通道均支持0-99级数字音量调节及静音开关功能，适用于剧院分区提示音、多区域广播等精准声压管理场景。</w:t>
      </w:r>
    </w:p>
    <w:p w14:paraId="4CAECE77">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6.5基于啸叫检测门限更新法，具有移频+陷波反馈抑制功能，可以使用≥48 个可编程陷波点。高精度移频，范围为-10Hz 到 10Hz。</w:t>
      </w:r>
    </w:p>
    <w:p w14:paraId="693392DB">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6.6设备具有编码旋钮和≥2.0 英寸 IPS 屏幕，可用于控制和配置设备直通、场景。IPS 屏幕能够显示固件版本号，输入和输出通道的实时电平。</w:t>
      </w:r>
    </w:p>
    <w:p w14:paraId="08D48A57">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w:t>
      </w:r>
      <w:r>
        <w:rPr>
          <w:rFonts w:hint="eastAsia" w:asciiTheme="minorEastAsia" w:hAnsiTheme="minorEastAsia" w:eastAsiaTheme="minorEastAsia" w:cstheme="minorEastAsia"/>
          <w:color w:val="000000"/>
          <w:szCs w:val="21"/>
          <w:lang w:val="en-US" w:eastAsia="zh-CN"/>
        </w:rPr>
        <w:t>7</w:t>
      </w:r>
      <w:r>
        <w:rPr>
          <w:rFonts w:hint="eastAsia" w:asciiTheme="minorEastAsia" w:hAnsiTheme="minorEastAsia" w:eastAsiaTheme="minorEastAsia" w:cstheme="minorEastAsia"/>
          <w:color w:val="000000"/>
          <w:szCs w:val="21"/>
        </w:rPr>
        <w:t>支持多客户端数据同步，≥2 个客户端以上连接混音器设备时，可实现多端数据同步。</w:t>
      </w:r>
    </w:p>
    <w:p w14:paraId="5CCBDC28">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w:t>
      </w:r>
      <w:r>
        <w:rPr>
          <w:rFonts w:hint="eastAsia" w:asciiTheme="minorEastAsia" w:hAnsiTheme="minorEastAsia" w:eastAsiaTheme="minorEastAsia" w:cstheme="minorEastAsia"/>
          <w:color w:val="000000"/>
          <w:szCs w:val="21"/>
          <w:lang w:val="en-US" w:eastAsia="zh-CN"/>
        </w:rPr>
        <w:t>8</w:t>
      </w:r>
      <w:r>
        <w:rPr>
          <w:rFonts w:hint="eastAsia" w:asciiTheme="minorEastAsia" w:hAnsiTheme="minorEastAsia" w:eastAsiaTheme="minorEastAsia" w:cstheme="minorEastAsia"/>
          <w:color w:val="000000"/>
          <w:szCs w:val="21"/>
        </w:rPr>
        <w:t>反馈抑制器软件可融入会议音频综合管理平台实现音频设备统一管理，平台可扫描音频处理器、混音器、抑制器、功放类产品在线情况，同款产品多台在线设备也可扫描，并显示设备硬件名称、硬件 IP 地址、在线、离线状态信息；具备一键上传配置信息至云端或保存本地进行备份和一键还原配置信息功能。</w:t>
      </w:r>
    </w:p>
    <w:p w14:paraId="27FE465A">
      <w:pPr>
        <w:spacing w:line="460" w:lineRule="atLeast"/>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7、会议话筒</w:t>
      </w:r>
    </w:p>
    <w:p w14:paraId="26FF03F7">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7.</w:t>
      </w:r>
      <w:r>
        <w:rPr>
          <w:rFonts w:hint="eastAsia" w:asciiTheme="minorEastAsia" w:hAnsiTheme="minorEastAsia" w:eastAsiaTheme="minorEastAsia" w:cstheme="minorEastAsia"/>
          <w:color w:val="000000"/>
          <w:szCs w:val="21"/>
          <w:lang w:val="en-US" w:eastAsia="zh-CN"/>
        </w:rPr>
        <w:t>1</w:t>
      </w:r>
      <w:r>
        <w:rPr>
          <w:rFonts w:hint="eastAsia" w:asciiTheme="minorEastAsia" w:hAnsiTheme="minorEastAsia" w:eastAsiaTheme="minorEastAsia" w:cstheme="minorEastAsia"/>
          <w:color w:val="000000"/>
          <w:szCs w:val="21"/>
        </w:rPr>
        <w:t>数字传输链路，通过网口转六芯航空线连接到会议主机级联口供电，非压缩音频传输技术，48K采样率，80Hz-16kHz带宽完美音质。</w:t>
      </w:r>
    </w:p>
    <w:p w14:paraId="2047EDC1">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7.</w:t>
      </w:r>
      <w:r>
        <w:rPr>
          <w:rFonts w:hint="eastAsia" w:asciiTheme="minorEastAsia" w:hAnsiTheme="minorEastAsia" w:eastAsiaTheme="minorEastAsia" w:cstheme="minorEastAsia"/>
          <w:color w:val="000000"/>
          <w:szCs w:val="21"/>
          <w:lang w:val="en-US" w:eastAsia="zh-CN"/>
        </w:rPr>
        <w:t>2</w:t>
      </w:r>
      <w:r>
        <w:rPr>
          <w:rFonts w:hint="eastAsia" w:asciiTheme="minorEastAsia" w:hAnsiTheme="minorEastAsia" w:eastAsiaTheme="minorEastAsia" w:cstheme="minorEastAsia"/>
          <w:color w:val="000000"/>
          <w:szCs w:val="21"/>
        </w:rPr>
        <w:t>采用实体硅胶按键，保留实体按键手感的同时杜绝实体按键敲击声，保障会场环境良好。</w:t>
      </w:r>
    </w:p>
    <w:p w14:paraId="0278C27C">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7.</w:t>
      </w:r>
      <w:r>
        <w:rPr>
          <w:rFonts w:hint="eastAsia" w:asciiTheme="minorEastAsia" w:hAnsiTheme="minorEastAsia" w:eastAsiaTheme="minorEastAsia" w:cstheme="minorEastAsia"/>
          <w:color w:val="000000"/>
          <w:szCs w:val="21"/>
          <w:lang w:val="en-US" w:eastAsia="zh-CN"/>
        </w:rPr>
        <w:t>3</w:t>
      </w:r>
      <w:r>
        <w:rPr>
          <w:rFonts w:hint="eastAsia" w:asciiTheme="minorEastAsia" w:hAnsiTheme="minorEastAsia" w:eastAsiaTheme="minorEastAsia" w:cstheme="minorEastAsia"/>
          <w:color w:val="000000"/>
          <w:szCs w:val="21"/>
        </w:rPr>
        <w:t>主席单元具备优先权功能，可关闭正在发言的所有代表话筒。</w:t>
      </w:r>
    </w:p>
    <w:p w14:paraId="6DC9B974">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7.</w:t>
      </w:r>
      <w:r>
        <w:rPr>
          <w:rFonts w:hint="eastAsia" w:asciiTheme="minorEastAsia" w:hAnsiTheme="minorEastAsia" w:eastAsiaTheme="minorEastAsia" w:cstheme="minorEastAsia"/>
          <w:color w:val="000000"/>
          <w:szCs w:val="21"/>
          <w:lang w:val="en-US" w:eastAsia="zh-CN"/>
        </w:rPr>
        <w:t>4</w:t>
      </w:r>
      <w:r>
        <w:rPr>
          <w:rFonts w:hint="eastAsia" w:asciiTheme="minorEastAsia" w:hAnsiTheme="minorEastAsia" w:eastAsiaTheme="minorEastAsia" w:cstheme="minorEastAsia"/>
          <w:color w:val="000000"/>
          <w:szCs w:val="21"/>
        </w:rPr>
        <w:t>会议PC软件支持对代表单元发言计时和定时发言功能，会议PC软件支持对主席单元计时发言功能，发言时间不受限制。</w:t>
      </w:r>
    </w:p>
    <w:p w14:paraId="6EDC9000">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7.</w:t>
      </w:r>
      <w:r>
        <w:rPr>
          <w:rFonts w:hint="eastAsia" w:asciiTheme="minorEastAsia" w:hAnsiTheme="minorEastAsia" w:eastAsiaTheme="minorEastAsia" w:cstheme="minorEastAsia"/>
          <w:color w:val="000000"/>
          <w:szCs w:val="21"/>
          <w:lang w:val="en-US" w:eastAsia="zh-CN"/>
        </w:rPr>
        <w:t>5</w:t>
      </w:r>
      <w:r>
        <w:rPr>
          <w:rFonts w:hint="eastAsia" w:asciiTheme="minorEastAsia" w:hAnsiTheme="minorEastAsia" w:eastAsiaTheme="minorEastAsia" w:cstheme="minorEastAsia"/>
          <w:color w:val="000000"/>
          <w:szCs w:val="21"/>
        </w:rPr>
        <w:t>具有≥5段EQ调节功能，可针对发言者的声音特点调节不同的音效，直至达到完美的效果。</w:t>
      </w:r>
    </w:p>
    <w:p w14:paraId="1E8D4052">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7.</w:t>
      </w:r>
      <w:r>
        <w:rPr>
          <w:rFonts w:hint="eastAsia" w:asciiTheme="minorEastAsia" w:hAnsiTheme="minorEastAsia" w:eastAsiaTheme="minorEastAsia" w:cstheme="minorEastAsia"/>
          <w:color w:val="000000"/>
          <w:szCs w:val="21"/>
          <w:lang w:val="en-US" w:eastAsia="zh-CN"/>
        </w:rPr>
        <w:t>6</w:t>
      </w:r>
      <w:r>
        <w:rPr>
          <w:rFonts w:hint="eastAsia" w:asciiTheme="minorEastAsia" w:hAnsiTheme="minorEastAsia" w:eastAsiaTheme="minorEastAsia" w:cstheme="minorEastAsia"/>
          <w:color w:val="000000"/>
          <w:szCs w:val="21"/>
        </w:rPr>
        <w:t>具有声控功能，声控灵敏度可调。</w:t>
      </w:r>
    </w:p>
    <w:p w14:paraId="2BE9480E">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7.</w:t>
      </w:r>
      <w:r>
        <w:rPr>
          <w:rFonts w:hint="eastAsia" w:asciiTheme="minorEastAsia" w:hAnsiTheme="minorEastAsia" w:eastAsiaTheme="minorEastAsia" w:cstheme="minorEastAsia"/>
          <w:color w:val="000000"/>
          <w:szCs w:val="21"/>
          <w:lang w:val="en-US" w:eastAsia="zh-CN"/>
        </w:rPr>
        <w:t>7</w:t>
      </w:r>
      <w:r>
        <w:rPr>
          <w:rFonts w:hint="eastAsia" w:asciiTheme="minorEastAsia" w:hAnsiTheme="minorEastAsia" w:eastAsiaTheme="minorEastAsia" w:cstheme="minorEastAsia"/>
          <w:color w:val="000000"/>
          <w:szCs w:val="21"/>
        </w:rPr>
        <w:t>具有独立的 WEB 控制页面，支持调节话筒ID号、话筒灵敏度、话筒EQ等参数。</w:t>
      </w:r>
    </w:p>
    <w:p w14:paraId="2F7E18C1">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7.</w:t>
      </w:r>
      <w:r>
        <w:rPr>
          <w:rFonts w:hint="eastAsia" w:asciiTheme="minorEastAsia" w:hAnsiTheme="minorEastAsia" w:eastAsiaTheme="minorEastAsia" w:cstheme="minorEastAsia"/>
          <w:color w:val="000000"/>
          <w:szCs w:val="21"/>
          <w:lang w:val="en-US" w:eastAsia="zh-CN"/>
        </w:rPr>
        <w:t>8</w:t>
      </w:r>
      <w:r>
        <w:rPr>
          <w:rFonts w:hint="eastAsia" w:asciiTheme="minorEastAsia" w:hAnsiTheme="minorEastAsia" w:eastAsiaTheme="minorEastAsia" w:cstheme="minorEastAsia"/>
          <w:color w:val="000000"/>
          <w:szCs w:val="21"/>
        </w:rPr>
        <w:t>单元支持PING包功能。</w:t>
      </w:r>
    </w:p>
    <w:p w14:paraId="13886B86">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7.</w:t>
      </w:r>
      <w:r>
        <w:rPr>
          <w:rFonts w:hint="eastAsia" w:asciiTheme="minorEastAsia" w:hAnsiTheme="minorEastAsia" w:eastAsiaTheme="minorEastAsia" w:cstheme="minorEastAsia"/>
          <w:color w:val="000000"/>
          <w:szCs w:val="21"/>
          <w:lang w:val="en-US" w:eastAsia="zh-CN"/>
        </w:rPr>
        <w:t>9</w:t>
      </w:r>
      <w:r>
        <w:rPr>
          <w:rFonts w:hint="eastAsia" w:asciiTheme="minorEastAsia" w:hAnsiTheme="minorEastAsia" w:eastAsiaTheme="minorEastAsia" w:cstheme="minorEastAsia"/>
          <w:color w:val="000000"/>
          <w:szCs w:val="21"/>
        </w:rPr>
        <w:t>支持签到功能，也可以通过PC软件禁止单元签到、控制单元签到等功能。</w:t>
      </w:r>
    </w:p>
    <w:p w14:paraId="7391AB20">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7.</w:t>
      </w:r>
      <w:r>
        <w:rPr>
          <w:rFonts w:hint="eastAsia" w:asciiTheme="minorEastAsia" w:hAnsiTheme="minorEastAsia" w:eastAsiaTheme="minorEastAsia" w:cstheme="minorEastAsia"/>
          <w:color w:val="000000"/>
          <w:szCs w:val="21"/>
          <w:lang w:val="en-US" w:eastAsia="zh-CN"/>
        </w:rPr>
        <w:t>10</w:t>
      </w:r>
      <w:r>
        <w:rPr>
          <w:rFonts w:hint="eastAsia" w:asciiTheme="minorEastAsia" w:hAnsiTheme="minorEastAsia" w:eastAsiaTheme="minorEastAsia" w:cstheme="minorEastAsia"/>
          <w:color w:val="000000"/>
          <w:szCs w:val="21"/>
        </w:rPr>
        <w:t>支持web页面固件升级功能。</w:t>
      </w:r>
    </w:p>
    <w:p w14:paraId="63482C9B">
      <w:pPr>
        <w:spacing w:line="460" w:lineRule="atLeast"/>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szCs w:val="21"/>
        </w:rPr>
        <w:t>7.</w:t>
      </w:r>
      <w:r>
        <w:rPr>
          <w:rFonts w:hint="eastAsia" w:asciiTheme="minorEastAsia" w:hAnsiTheme="minorEastAsia" w:eastAsiaTheme="minorEastAsia" w:cstheme="minorEastAsia"/>
          <w:color w:val="000000"/>
          <w:szCs w:val="21"/>
          <w:lang w:val="en-US" w:eastAsia="zh-CN"/>
        </w:rPr>
        <w:t>11</w:t>
      </w:r>
      <w:r>
        <w:rPr>
          <w:rFonts w:hint="eastAsia" w:asciiTheme="minorEastAsia" w:hAnsiTheme="minorEastAsia" w:eastAsiaTheme="minorEastAsia" w:cstheme="minorEastAsia"/>
          <w:color w:val="000000"/>
          <w:szCs w:val="21"/>
        </w:rPr>
        <w:t>支持IP地址嗅探功能，通过PC工具可以查找到未知单元的ID号、IP地址、MAC地址等</w:t>
      </w:r>
      <w:r>
        <w:rPr>
          <w:rFonts w:hint="eastAsia" w:asciiTheme="minorEastAsia" w:hAnsiTheme="minorEastAsia" w:eastAsiaTheme="minorEastAsia" w:cstheme="minorEastAsia"/>
          <w:color w:val="000000"/>
          <w:szCs w:val="21"/>
          <w:lang w:eastAsia="zh-CN"/>
        </w:rPr>
        <w:t>。</w:t>
      </w:r>
    </w:p>
    <w:p w14:paraId="664732D5">
      <w:pPr>
        <w:spacing w:line="460" w:lineRule="atLeast"/>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8、网络中控主机</w:t>
      </w:r>
    </w:p>
    <w:p w14:paraId="7AEE0306">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8.1采用SMT全贴片式生产工艺，高度集成处理芯片，系统运行稳定、流畅。内置≥32位Cortex-A8 ARM架构内嵌式处理器，处理速度高达≥720MHz。</w:t>
      </w:r>
    </w:p>
    <w:p w14:paraId="17F6E4F5">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8.2C语言编程架构，语句式编程，支持复杂的逻辑运算和循环计数、CRC校验、API协议对接、文本反馈等功能，交互式控制结构，中英文编程界面。</w:t>
      </w:r>
    </w:p>
    <w:p w14:paraId="75BA5481">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8.3主机具备串行控制，IR红外控制，I/O控制，弱继电器等丰富的控制接口，支持接入各种类型周边设备，使用户操作更加简单。</w:t>
      </w:r>
    </w:p>
    <w:p w14:paraId="0848E056">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8.4支持红外控制、RS-232、RS-422、RS-485、UDP、TCP、telnet、http、MQTT以及SNMP等多种协议，兼容性强，可对接第三方设备。</w:t>
      </w:r>
    </w:p>
    <w:p w14:paraId="6ED3064D">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8.5支持有线触摸平板、安卓移动端以及IOS移动端等智能硬件通过网线或WIFI 对主机发送网络控制指令。</w:t>
      </w:r>
    </w:p>
    <w:p w14:paraId="30A5A79E">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8.6主机采用标准 19英寸机柜设计，前面板采用黑色氧化拉丝工艺，美观大方。</w:t>
      </w:r>
    </w:p>
    <w:p w14:paraId="5E1C2499">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8.7主机具备≥4.3英寸LCD触摸彩屏，可查看IP地址、修改IP地址。面板具有指示灯，可直观反馈串口、红外、设备的工作状态。支持全制式环保电源(110V-240V)，适合任何地区。</w:t>
      </w:r>
    </w:p>
    <w:p w14:paraId="78B4F75E">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8.8主机具备≥8路独立可编程串口，可收发RS-232，RS-485及RS-422信号。支持串口环出功能，主机的≥8路串口均可实现任意一个输入都可以从另外一个串口环出。</w:t>
      </w:r>
    </w:p>
    <w:p w14:paraId="5182BFAB">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8.9主机具备≥8路独立可编程IR红外发射口，实现对电视、空调等设备进行红外控制。支持导入各种常用的电器设备的红外代码库到主机，从而实现对相应设备控制。</w:t>
      </w:r>
    </w:p>
    <w:p w14:paraId="1FFFD9F7">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8.10主机具备≥8路数字I/0控制口，带保护电路。</w:t>
      </w:r>
    </w:p>
    <w:p w14:paraId="3559A037">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8.11主机具备≥8路弱电继电器控制接口。</w:t>
      </w:r>
    </w:p>
    <w:p w14:paraId="3FCDCB85">
      <w:pPr>
        <w:spacing w:line="460" w:lineRule="atLeast"/>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lang w:val="en-US" w:eastAsia="zh-CN"/>
        </w:rPr>
        <w:t>9</w:t>
      </w:r>
      <w:r>
        <w:rPr>
          <w:rFonts w:hint="eastAsia" w:asciiTheme="minorEastAsia" w:hAnsiTheme="minorEastAsia" w:eastAsiaTheme="minorEastAsia" w:cstheme="minorEastAsia"/>
          <w:b/>
          <w:bCs/>
          <w:color w:val="000000"/>
          <w:szCs w:val="21"/>
        </w:rPr>
        <w:t>、路由器</w:t>
      </w:r>
    </w:p>
    <w:p w14:paraId="55059265">
      <w:pPr>
        <w:spacing w:line="460" w:lineRule="atLeas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lang w:val="en-US" w:eastAsia="zh-CN"/>
        </w:rPr>
        <w:t>9</w:t>
      </w:r>
      <w:r>
        <w:rPr>
          <w:rFonts w:hint="eastAsia" w:asciiTheme="minorEastAsia" w:hAnsiTheme="minorEastAsia" w:eastAsiaTheme="minorEastAsia" w:cstheme="minorEastAsia"/>
          <w:color w:val="000000"/>
          <w:szCs w:val="21"/>
        </w:rPr>
        <w:t>.1</w:t>
      </w:r>
      <w:r>
        <w:rPr>
          <w:rFonts w:asciiTheme="minorEastAsia" w:hAnsiTheme="minorEastAsia" w:eastAsiaTheme="minorEastAsia" w:cstheme="minorEastAsia"/>
          <w:color w:val="000000"/>
          <w:szCs w:val="21"/>
        </w:rPr>
        <w:t>防火墙吞吐性能:</w:t>
      </w:r>
      <w:r>
        <w:rPr>
          <w:rFonts w:hint="eastAsia" w:asciiTheme="minorEastAsia" w:hAnsiTheme="minorEastAsia" w:eastAsiaTheme="minorEastAsia" w:cstheme="minorEastAsia"/>
          <w:color w:val="000000"/>
          <w:szCs w:val="21"/>
        </w:rPr>
        <w:t>≥</w:t>
      </w:r>
      <w:r>
        <w:rPr>
          <w:rFonts w:asciiTheme="minorEastAsia" w:hAnsiTheme="minorEastAsia" w:eastAsiaTheme="minorEastAsia" w:cstheme="minorEastAsia"/>
          <w:color w:val="000000"/>
          <w:szCs w:val="21"/>
        </w:rPr>
        <w:t>200Mbps;VPN加密性能（混合包场景，平均包长516）:60Mbps;规格:桌面型; 电源:单电源; 接口：5千兆电口;</w:t>
      </w:r>
      <w:r>
        <w:rPr>
          <w:rFonts w:asciiTheme="minorEastAsia" w:hAnsiTheme="minorEastAsia" w:eastAsiaTheme="minorEastAsia" w:cstheme="minorEastAsia"/>
          <w:color w:val="000000"/>
          <w:szCs w:val="21"/>
        </w:rPr>
        <w:br w:type="textWrapping"/>
      </w:r>
      <w:r>
        <w:rPr>
          <w:rFonts w:hint="eastAsia" w:asciiTheme="minorEastAsia" w:hAnsiTheme="minorEastAsia" w:eastAsiaTheme="minorEastAsia" w:cstheme="minorEastAsia"/>
          <w:color w:val="000000"/>
          <w:szCs w:val="21"/>
          <w:lang w:val="en-US" w:eastAsia="zh-CN"/>
        </w:rPr>
        <w:t>9</w:t>
      </w:r>
      <w:r>
        <w:rPr>
          <w:rFonts w:hint="eastAsia" w:asciiTheme="minorEastAsia" w:hAnsiTheme="minorEastAsia" w:eastAsiaTheme="minorEastAsia" w:cstheme="minorEastAsia"/>
          <w:color w:val="000000"/>
          <w:szCs w:val="21"/>
        </w:rPr>
        <w:t>.2</w:t>
      </w:r>
      <w:r>
        <w:rPr>
          <w:rFonts w:asciiTheme="minorEastAsia" w:hAnsiTheme="minorEastAsia" w:eastAsiaTheme="minorEastAsia" w:cstheme="minorEastAsia"/>
          <w:color w:val="000000"/>
          <w:szCs w:val="21"/>
        </w:rPr>
        <w:t>支持云端开局易部署：管理平台端可导入设备信息，分支端设备首次通电接通网络后，无需借助邮件、U盘等介质，自主接入SD-WAN集中管理平台，全自动完成内网地址分配、VPN组网、WIFI账号密码设置、配置策略下发等操作，实现设备接线即业务开通。</w:t>
      </w:r>
      <w:r>
        <w:rPr>
          <w:rFonts w:asciiTheme="minorEastAsia" w:hAnsiTheme="minorEastAsia" w:eastAsiaTheme="minorEastAsia" w:cstheme="minorEastAsia"/>
          <w:color w:val="000000"/>
          <w:szCs w:val="21"/>
        </w:rPr>
        <w:br w:type="textWrapping"/>
      </w:r>
      <w:r>
        <w:rPr>
          <w:rFonts w:hint="eastAsia" w:asciiTheme="minorEastAsia" w:hAnsiTheme="minorEastAsia" w:eastAsiaTheme="minorEastAsia" w:cstheme="minorEastAsia"/>
          <w:color w:val="000000"/>
          <w:szCs w:val="21"/>
          <w:lang w:val="en-US" w:eastAsia="zh-CN"/>
        </w:rPr>
        <w:t>9</w:t>
      </w:r>
      <w:r>
        <w:rPr>
          <w:rFonts w:hint="eastAsia" w:asciiTheme="minorEastAsia" w:hAnsiTheme="minorEastAsia" w:eastAsiaTheme="minorEastAsia" w:cstheme="minorEastAsia"/>
          <w:color w:val="000000"/>
          <w:szCs w:val="21"/>
        </w:rPr>
        <w:t xml:space="preserve">.3 </w:t>
      </w:r>
      <w:r>
        <w:rPr>
          <w:rFonts w:asciiTheme="minorEastAsia" w:hAnsiTheme="minorEastAsia" w:eastAsiaTheme="minorEastAsia" w:cstheme="minorEastAsia"/>
          <w:color w:val="000000"/>
          <w:szCs w:val="21"/>
        </w:rPr>
        <w:t>设备易部署阶段，可设置是否需要管理员审核才能完成易部署上线操作。3、支持基于web应用的自定义应用探测，支持查看30天的应用访问质量统计；支持展示最优应用访问质量，包括应用RTT，应用重传率，DNS解析耗时，TCP握手耗时等</w:t>
      </w:r>
    </w:p>
    <w:p w14:paraId="27A22E4F">
      <w:pPr>
        <w:spacing w:line="460" w:lineRule="atLeast"/>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1</w:t>
      </w:r>
      <w:r>
        <w:rPr>
          <w:rFonts w:hint="eastAsia" w:asciiTheme="minorEastAsia" w:hAnsiTheme="minorEastAsia" w:eastAsiaTheme="minorEastAsia" w:cstheme="minorEastAsia"/>
          <w:b/>
          <w:bCs/>
          <w:color w:val="000000"/>
          <w:szCs w:val="21"/>
          <w:lang w:val="en-US" w:eastAsia="zh-CN"/>
        </w:rPr>
        <w:t>0</w:t>
      </w:r>
      <w:r>
        <w:rPr>
          <w:rFonts w:hint="eastAsia" w:asciiTheme="minorEastAsia" w:hAnsiTheme="minorEastAsia" w:eastAsiaTheme="minorEastAsia" w:cstheme="minorEastAsia"/>
          <w:b/>
          <w:bCs/>
          <w:color w:val="000000"/>
          <w:szCs w:val="21"/>
        </w:rPr>
        <w:t>、控制器</w:t>
      </w:r>
    </w:p>
    <w:p w14:paraId="4671F13D">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w:t>
      </w:r>
      <w:r>
        <w:rPr>
          <w:rFonts w:hint="eastAsia" w:asciiTheme="minorEastAsia" w:hAnsiTheme="minorEastAsia" w:eastAsiaTheme="minorEastAsia" w:cstheme="minorEastAsia"/>
          <w:color w:val="000000"/>
          <w:szCs w:val="21"/>
          <w:lang w:val="en-US" w:eastAsia="zh-CN"/>
        </w:rPr>
        <w:t>0</w:t>
      </w:r>
      <w:r>
        <w:rPr>
          <w:rFonts w:hint="eastAsia" w:asciiTheme="minorEastAsia" w:hAnsiTheme="minorEastAsia" w:eastAsiaTheme="minorEastAsia" w:cstheme="minorEastAsia"/>
          <w:color w:val="000000"/>
          <w:szCs w:val="21"/>
        </w:rPr>
        <w:t>.1协议兼容：搭配可编程中控主机使用，也全面支持第三方设备控制。</w:t>
      </w:r>
    </w:p>
    <w:p w14:paraId="1C409B30">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w:t>
      </w:r>
      <w:r>
        <w:rPr>
          <w:rFonts w:hint="eastAsia" w:asciiTheme="minorEastAsia" w:hAnsiTheme="minorEastAsia" w:eastAsiaTheme="minorEastAsia" w:cstheme="minorEastAsia"/>
          <w:color w:val="000000"/>
          <w:szCs w:val="21"/>
          <w:lang w:val="en-US" w:eastAsia="zh-CN"/>
        </w:rPr>
        <w:t>0</w:t>
      </w:r>
      <w:r>
        <w:rPr>
          <w:rFonts w:hint="eastAsia" w:asciiTheme="minorEastAsia" w:hAnsiTheme="minorEastAsia" w:eastAsiaTheme="minorEastAsia" w:cstheme="minorEastAsia"/>
          <w:color w:val="000000"/>
          <w:szCs w:val="21"/>
        </w:rPr>
        <w:t>.2手动控制：在机器的正前方，有≥8个轻触开关，紧急情况下可以手动控制继电器的开关，在现场出现特发情况时可以使用这一功能，很好的保护其他的设备。</w:t>
      </w:r>
    </w:p>
    <w:p w14:paraId="758E34BC">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w:t>
      </w:r>
      <w:r>
        <w:rPr>
          <w:rFonts w:hint="eastAsia" w:asciiTheme="minorEastAsia" w:hAnsiTheme="minorEastAsia" w:eastAsiaTheme="minorEastAsia" w:cstheme="minorEastAsia"/>
          <w:color w:val="000000"/>
          <w:szCs w:val="21"/>
          <w:lang w:val="en-US" w:eastAsia="zh-CN"/>
        </w:rPr>
        <w:t>0</w:t>
      </w:r>
      <w:r>
        <w:rPr>
          <w:rFonts w:hint="eastAsia" w:asciiTheme="minorEastAsia" w:hAnsiTheme="minorEastAsia" w:eastAsiaTheme="minorEastAsia" w:cstheme="minorEastAsia"/>
          <w:color w:val="000000"/>
          <w:szCs w:val="21"/>
        </w:rPr>
        <w:t>.3具有≥8路继电器，每路继电器都有三连接点的接线柱，具有常开与常闭的功能；具有≥1路零线端子接口。</w:t>
      </w:r>
    </w:p>
    <w:p w14:paraId="6B8A0841">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w:t>
      </w:r>
      <w:r>
        <w:rPr>
          <w:rFonts w:hint="eastAsia" w:asciiTheme="minorEastAsia" w:hAnsiTheme="minorEastAsia" w:eastAsiaTheme="minorEastAsia" w:cstheme="minorEastAsia"/>
          <w:color w:val="000000"/>
          <w:szCs w:val="21"/>
          <w:lang w:val="en-US" w:eastAsia="zh-CN"/>
        </w:rPr>
        <w:t>0</w:t>
      </w:r>
      <w:r>
        <w:rPr>
          <w:rFonts w:hint="eastAsia" w:asciiTheme="minorEastAsia" w:hAnsiTheme="minorEastAsia" w:eastAsiaTheme="minorEastAsia" w:cstheme="minorEastAsia"/>
          <w:color w:val="000000"/>
          <w:szCs w:val="21"/>
        </w:rPr>
        <w:t>.4具有≥8路独立电源开关控制，单路电流支持≥20A。</w:t>
      </w:r>
    </w:p>
    <w:p w14:paraId="296B9E79">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w:t>
      </w:r>
      <w:r>
        <w:rPr>
          <w:rFonts w:hint="eastAsia" w:asciiTheme="minorEastAsia" w:hAnsiTheme="minorEastAsia" w:eastAsiaTheme="minorEastAsia" w:cstheme="minorEastAsia"/>
          <w:color w:val="000000"/>
          <w:szCs w:val="21"/>
          <w:lang w:val="en-US" w:eastAsia="zh-CN"/>
        </w:rPr>
        <w:t>0</w:t>
      </w:r>
      <w:r>
        <w:rPr>
          <w:rFonts w:hint="eastAsia" w:asciiTheme="minorEastAsia" w:hAnsiTheme="minorEastAsia" w:eastAsiaTheme="minorEastAsia" w:cstheme="minorEastAsia"/>
          <w:color w:val="000000"/>
          <w:szCs w:val="21"/>
        </w:rPr>
        <w:t>.5具有复位按键，支持恢复到出厂的默认设置。</w:t>
      </w:r>
    </w:p>
    <w:p w14:paraId="20AB6159">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w:t>
      </w:r>
      <w:r>
        <w:rPr>
          <w:rFonts w:hint="eastAsia" w:asciiTheme="minorEastAsia" w:hAnsiTheme="minorEastAsia" w:eastAsiaTheme="minorEastAsia" w:cstheme="minorEastAsia"/>
          <w:color w:val="000000"/>
          <w:szCs w:val="21"/>
          <w:lang w:val="en-US" w:eastAsia="zh-CN"/>
        </w:rPr>
        <w:t>0</w:t>
      </w:r>
      <w:r>
        <w:rPr>
          <w:rFonts w:hint="eastAsia" w:asciiTheme="minorEastAsia" w:hAnsiTheme="minorEastAsia" w:eastAsiaTheme="minorEastAsia" w:cstheme="minorEastAsia"/>
          <w:color w:val="000000"/>
          <w:szCs w:val="21"/>
        </w:rPr>
        <w:t>.6具有设备运行状态指示灯及≥8个继电器的开关状态指示灯。</w:t>
      </w:r>
    </w:p>
    <w:p w14:paraId="69C2618E">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w:t>
      </w:r>
      <w:r>
        <w:rPr>
          <w:rFonts w:hint="eastAsia" w:asciiTheme="minorEastAsia" w:hAnsiTheme="minorEastAsia" w:eastAsiaTheme="minorEastAsia" w:cstheme="minorEastAsia"/>
          <w:color w:val="000000"/>
          <w:szCs w:val="21"/>
          <w:lang w:val="en-US" w:eastAsia="zh-CN"/>
        </w:rPr>
        <w:t>0</w:t>
      </w:r>
      <w:r>
        <w:rPr>
          <w:rFonts w:hint="eastAsia" w:asciiTheme="minorEastAsia" w:hAnsiTheme="minorEastAsia" w:eastAsiaTheme="minorEastAsia" w:cstheme="minorEastAsia"/>
          <w:color w:val="000000"/>
          <w:szCs w:val="21"/>
        </w:rPr>
        <w:t>.7具有≥1路网络接口，支持通过网络实现远程控制。</w:t>
      </w:r>
    </w:p>
    <w:p w14:paraId="612576B3">
      <w:pPr>
        <w:spacing w:line="46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w:t>
      </w:r>
      <w:r>
        <w:rPr>
          <w:rFonts w:hint="eastAsia" w:asciiTheme="minorEastAsia" w:hAnsiTheme="minorEastAsia" w:eastAsiaTheme="minorEastAsia" w:cstheme="minorEastAsia"/>
          <w:color w:val="000000"/>
          <w:szCs w:val="21"/>
          <w:lang w:val="en-US" w:eastAsia="zh-CN"/>
        </w:rPr>
        <w:t>0</w:t>
      </w:r>
      <w:r>
        <w:rPr>
          <w:rFonts w:hint="eastAsia" w:asciiTheme="minorEastAsia" w:hAnsiTheme="minorEastAsia" w:eastAsiaTheme="minorEastAsia" w:cstheme="minorEastAsia"/>
          <w:color w:val="000000"/>
          <w:szCs w:val="21"/>
        </w:rPr>
        <w:t>.8机器具备ID识别，通过中控主机网络控制多台时，可通过ID识别。</w:t>
      </w:r>
    </w:p>
    <w:p w14:paraId="4A7020C8">
      <w:pPr>
        <w:spacing w:line="460" w:lineRule="atLeast"/>
        <w:rPr>
          <w:rFonts w:hint="eastAsia"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color w:val="000000"/>
          <w:szCs w:val="21"/>
        </w:rPr>
        <w:t>1</w:t>
      </w:r>
      <w:r>
        <w:rPr>
          <w:rFonts w:hint="eastAsia" w:asciiTheme="minorEastAsia" w:hAnsiTheme="minorEastAsia" w:eastAsiaTheme="minorEastAsia" w:cstheme="minorEastAsia"/>
          <w:color w:val="000000"/>
          <w:szCs w:val="21"/>
          <w:lang w:val="en-US" w:eastAsia="zh-CN"/>
        </w:rPr>
        <w:t>0</w:t>
      </w:r>
      <w:r>
        <w:rPr>
          <w:rFonts w:hint="eastAsia" w:asciiTheme="minorEastAsia" w:hAnsiTheme="minorEastAsia" w:eastAsiaTheme="minorEastAsia" w:cstheme="minorEastAsia"/>
          <w:color w:val="000000"/>
          <w:szCs w:val="21"/>
        </w:rPr>
        <w:t>.9具有键盘锁（LOCK）功能，防止误操作，便于用于维护管理。</w:t>
      </w:r>
    </w:p>
    <w:p w14:paraId="250A976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7A164D"/>
    <w:rsid w:val="427A1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2026-08-13T07:22:00Z</dcterms:created>
  <dc:creator>雅雯</dc:creator>
  <cp:lastModifiedBy>雅雯</cp:lastModifiedBy>
  <dcterms:modified xsi:type="dcterms:W3CDTF">2026-08-13T07:23:28Z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1AEA8A90E4B84EEABB14C8E24DE7755C_11</vt:lpwstr>
  </property>
  <property fmtid="{D5CDD505-2E9C-101B-9397-08002B2CF9AE}" pid="4" name="KSOTemplateDocerSaveRecord">
    <vt:lpwstr>eyJoZGlkIjoiMGZiMWI5OGE1MmY5Nzg5NTNkMDQwZTAyYTZjNDQ0ZGEiLCJ1c2VySWQiOiI0MDkxNTA1ODcifQ==</vt:lpwstr>
  </property>
</Properties>
</file>