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F75A34">
      <w:pPr>
        <w:jc w:val="center"/>
        <w:rPr>
          <w:rFonts w:hint="default"/>
          <w:b/>
          <w:color w:val="1A5276"/>
          <w:sz w:val="36"/>
          <w:szCs w:val="36"/>
          <w:lang w:val="en-US" w:eastAsia="zh-CN"/>
        </w:rPr>
      </w:pPr>
      <w:r>
        <w:rPr>
          <w:rFonts w:hint="eastAsia"/>
          <w:b/>
          <w:color w:val="1A5276"/>
          <w:sz w:val="36"/>
          <w:szCs w:val="36"/>
          <w:lang w:val="en-US" w:eastAsia="zh-CN"/>
        </w:rPr>
        <w:t>慢病管理</w:t>
      </w:r>
      <w:r>
        <w:rPr>
          <w:rFonts w:hint="eastAsia"/>
          <w:b/>
          <w:color w:val="1A5276"/>
          <w:sz w:val="36"/>
          <w:szCs w:val="36"/>
          <w:lang w:eastAsia="zh-CN"/>
        </w:rPr>
        <w:t>系统</w:t>
      </w:r>
      <w:r>
        <w:rPr>
          <w:rFonts w:hint="eastAsia"/>
          <w:b/>
          <w:color w:val="1A5276"/>
          <w:sz w:val="36"/>
          <w:szCs w:val="36"/>
          <w:lang w:val="en-US" w:eastAsia="zh-CN"/>
        </w:rPr>
        <w:t>项目需求</w:t>
      </w:r>
    </w:p>
    <w:p w14:paraId="7F099BB1">
      <w:pPr>
        <w:jc w:val="both"/>
        <w:rPr>
          <w:rFonts w:hint="default"/>
          <w:b/>
          <w:color w:val="1A5276"/>
          <w:sz w:val="32"/>
          <w:szCs w:val="32"/>
          <w:lang w:val="en-US" w:eastAsia="zh-CN"/>
        </w:rPr>
      </w:pPr>
      <w:r>
        <w:rPr>
          <w:rFonts w:hint="eastAsia"/>
          <w:b/>
          <w:color w:val="1A5276"/>
          <w:sz w:val="32"/>
          <w:szCs w:val="32"/>
          <w:lang w:val="en-US" w:eastAsia="zh-CN"/>
        </w:rPr>
        <w:t>预算：8万元</w:t>
      </w:r>
    </w:p>
    <w:p w14:paraId="3E813F32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一、建设目标</w:t>
      </w:r>
    </w:p>
    <w:p w14:paraId="12A71C2F">
      <w:pPr>
        <w:ind w:firstLine="480" w:firstLineChars="200"/>
        <w:rPr>
          <w:rFonts w:hint="eastAsia"/>
        </w:rPr>
      </w:pPr>
      <w:r>
        <w:rPr>
          <w:rFonts w:hint="eastAsia"/>
        </w:rPr>
        <w:t>为实现</w:t>
      </w:r>
      <w:r>
        <w:rPr>
          <w:rFonts w:hint="eastAsia" w:ascii="宋体" w:hAnsi="宋体"/>
          <w:szCs w:val="21"/>
        </w:rPr>
        <w:t>门诊和住院部患者的</w:t>
      </w:r>
      <w:r>
        <w:rPr>
          <w:rFonts w:hint="eastAsia"/>
        </w:rPr>
        <w:t>检查报告</w:t>
      </w:r>
      <w:r>
        <w:rPr>
          <w:rFonts w:hint="eastAsia" w:ascii="宋体" w:hAnsi="宋体"/>
          <w:szCs w:val="21"/>
        </w:rPr>
        <w:t>与</w:t>
      </w:r>
      <w:r>
        <w:rPr>
          <w:rFonts w:hint="eastAsia"/>
        </w:rPr>
        <w:t>全院共享、优化</w:t>
      </w:r>
      <w:r>
        <w:rPr>
          <w:rFonts w:hint="eastAsia" w:ascii="宋体" w:hAnsi="宋体"/>
          <w:szCs w:val="21"/>
        </w:rPr>
        <w:t>患者</w:t>
      </w:r>
      <w:r>
        <w:rPr>
          <w:rFonts w:hint="eastAsia"/>
        </w:rPr>
        <w:t>就医流程、提升患者就诊体验，需整合信息资源、消除信息孤岛，构建全院统一信息化管理，实现检查流程自动化、报告集中存储与随时调阅。</w:t>
      </w:r>
    </w:p>
    <w:p w14:paraId="087F2ED7">
      <w:pPr>
        <w:rPr>
          <w:rFonts w:hint="eastAsia" w:ascii="宋体" w:hAnsi="宋体" w:eastAsia="宋体"/>
          <w:lang w:val="en-US" w:eastAsia="en-US"/>
        </w:rPr>
      </w:pPr>
      <w:r>
        <w:rPr>
          <w:rFonts w:hint="eastAsia" w:ascii="宋体" w:hAnsi="宋体" w:eastAsia="宋体"/>
          <w:lang w:val="en-US" w:eastAsia="zh-CN"/>
        </w:rPr>
        <w:t>二、</w:t>
      </w:r>
      <w:r>
        <w:rPr>
          <w:rFonts w:hint="eastAsia" w:ascii="宋体" w:hAnsi="宋体" w:eastAsia="宋体"/>
          <w:lang w:val="en-US" w:eastAsia="en-US"/>
        </w:rPr>
        <w:t>具体项目要求：</w:t>
      </w:r>
    </w:p>
    <w:p w14:paraId="32F11A8C">
      <w:pPr>
        <w:numPr>
          <w:ilvl w:val="0"/>
          <w:numId w:val="0"/>
        </w:numPr>
        <w:rPr>
          <w:rFonts w:hint="eastAsia" w:ascii="宋体" w:hAnsi="宋体" w:eastAsia="宋体" w:cstheme="minorBidi"/>
          <w:color w:val="333333"/>
          <w:sz w:val="24"/>
          <w:szCs w:val="22"/>
          <w:lang w:val="en-US" w:eastAsia="zh-CN" w:bidi="ar-SA"/>
        </w:rPr>
      </w:pPr>
      <w:r>
        <w:rPr>
          <w:rFonts w:hint="eastAsia" w:ascii="宋体" w:hAnsi="宋体" w:eastAsia="宋体" w:cstheme="minorBidi"/>
          <w:color w:val="333333"/>
          <w:sz w:val="24"/>
          <w:szCs w:val="22"/>
          <w:lang w:val="en-US" w:eastAsia="zh-CN" w:bidi="ar-SA"/>
        </w:rPr>
        <w:t>（一）服务内容要求：</w:t>
      </w:r>
    </w:p>
    <w:tbl>
      <w:tblPr>
        <w:tblStyle w:val="35"/>
        <w:tblW w:w="89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2281"/>
        <w:gridCol w:w="5860"/>
      </w:tblGrid>
      <w:tr w14:paraId="3BB14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55" w:type="pct"/>
            <w:shd w:val="clear" w:color="auto" w:fill="D8D8D8"/>
            <w:noWrap w:val="0"/>
            <w:vAlign w:val="center"/>
          </w:tcPr>
          <w:p w14:paraId="1323804B">
            <w:pPr>
              <w:widowControl/>
              <w:spacing w:line="300" w:lineRule="exact"/>
              <w:jc w:val="center"/>
              <w:rPr>
                <w:rFonts w:hint="eastAsia" w:ascii="宋体" w:hAnsi="宋体" w:eastAsia="宋体" w:cstheme="minorBidi"/>
                <w:color w:val="333333"/>
                <w:sz w:val="24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theme="minorBidi"/>
                <w:color w:val="333333"/>
                <w:sz w:val="24"/>
                <w:szCs w:val="22"/>
                <w:lang w:val="en-US" w:eastAsia="en-US" w:bidi="ar-SA"/>
              </w:rPr>
              <w:t>序号</w:t>
            </w:r>
          </w:p>
        </w:tc>
        <w:tc>
          <w:tcPr>
            <w:tcW w:w="1273" w:type="pct"/>
            <w:shd w:val="clear" w:color="auto" w:fill="D8D8D8"/>
            <w:noWrap w:val="0"/>
            <w:vAlign w:val="center"/>
          </w:tcPr>
          <w:p w14:paraId="5D438967">
            <w:pPr>
              <w:widowControl/>
              <w:spacing w:line="300" w:lineRule="exact"/>
              <w:jc w:val="center"/>
              <w:rPr>
                <w:rFonts w:hint="eastAsia" w:ascii="宋体" w:hAnsi="宋体" w:eastAsia="宋体" w:cstheme="minorBidi"/>
                <w:color w:val="333333"/>
                <w:sz w:val="24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theme="minorBidi"/>
                <w:color w:val="333333"/>
                <w:sz w:val="24"/>
                <w:szCs w:val="22"/>
                <w:lang w:val="en-US" w:eastAsia="en-US" w:bidi="ar-SA"/>
              </w:rPr>
              <w:t>功能模块</w:t>
            </w:r>
          </w:p>
        </w:tc>
        <w:tc>
          <w:tcPr>
            <w:tcW w:w="3271" w:type="pct"/>
            <w:shd w:val="clear" w:color="auto" w:fill="D8D8D8"/>
            <w:noWrap w:val="0"/>
            <w:vAlign w:val="center"/>
          </w:tcPr>
          <w:p w14:paraId="00E80697">
            <w:pPr>
              <w:widowControl/>
              <w:spacing w:line="300" w:lineRule="exact"/>
              <w:jc w:val="center"/>
              <w:rPr>
                <w:rFonts w:hint="eastAsia" w:ascii="宋体" w:hAnsi="宋体" w:eastAsia="宋体" w:cstheme="minorBidi"/>
                <w:color w:val="333333"/>
                <w:sz w:val="24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theme="minorBidi"/>
                <w:color w:val="333333"/>
                <w:sz w:val="24"/>
                <w:szCs w:val="22"/>
                <w:lang w:val="en-US" w:eastAsia="en-US" w:bidi="ar-SA"/>
              </w:rPr>
              <w:t>功能说明</w:t>
            </w:r>
          </w:p>
        </w:tc>
      </w:tr>
      <w:tr w14:paraId="4BA93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55" w:type="pct"/>
            <w:noWrap w:val="0"/>
            <w:vAlign w:val="center"/>
          </w:tcPr>
          <w:p w14:paraId="4D760ED9">
            <w:pPr>
              <w:widowControl/>
              <w:spacing w:line="300" w:lineRule="exact"/>
              <w:jc w:val="center"/>
              <w:rPr>
                <w:rFonts w:hint="eastAsia" w:ascii="宋体" w:hAnsi="宋体" w:eastAsia="宋体" w:cstheme="minorBidi"/>
                <w:color w:val="333333"/>
                <w:sz w:val="24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theme="minorBidi"/>
                <w:color w:val="333333"/>
                <w:sz w:val="24"/>
                <w:szCs w:val="22"/>
                <w:lang w:val="en-US" w:eastAsia="en-US" w:bidi="ar-SA"/>
              </w:rPr>
              <w:t>1</w:t>
            </w:r>
          </w:p>
        </w:tc>
        <w:tc>
          <w:tcPr>
            <w:tcW w:w="1273" w:type="pct"/>
            <w:noWrap w:val="0"/>
            <w:vAlign w:val="center"/>
          </w:tcPr>
          <w:p w14:paraId="045822C7">
            <w:pPr>
              <w:widowControl/>
              <w:spacing w:line="300" w:lineRule="exact"/>
              <w:jc w:val="center"/>
              <w:rPr>
                <w:rFonts w:hint="eastAsia" w:ascii="宋体" w:hAnsi="宋体" w:eastAsia="宋体" w:cstheme="minorBidi"/>
                <w:color w:val="333333"/>
                <w:sz w:val="24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theme="minorBidi"/>
                <w:color w:val="333333"/>
                <w:sz w:val="24"/>
                <w:szCs w:val="22"/>
                <w:lang w:val="en-US" w:eastAsia="en-US" w:bidi="ar-SA"/>
              </w:rPr>
              <w:t>系统基础平台</w:t>
            </w:r>
          </w:p>
        </w:tc>
        <w:tc>
          <w:tcPr>
            <w:tcW w:w="3271" w:type="pct"/>
            <w:noWrap w:val="0"/>
            <w:vAlign w:val="center"/>
          </w:tcPr>
          <w:p w14:paraId="642336B5">
            <w:pPr>
              <w:widowControl/>
              <w:spacing w:line="300" w:lineRule="exact"/>
              <w:jc w:val="left"/>
              <w:rPr>
                <w:rFonts w:hint="default" w:ascii="宋体" w:hAnsi="宋体" w:eastAsia="宋体" w:cstheme="minorBidi"/>
                <w:color w:val="333333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color w:val="333333"/>
                <w:sz w:val="24"/>
                <w:szCs w:val="22"/>
                <w:lang w:val="en-US" w:eastAsia="en-US" w:bidi="ar-SA"/>
              </w:rPr>
              <w:t>▲采用开放式、可扩展、松耦合的总体架构，具备强大的系统集成与业务拓展能力。平台支持多科室、多品牌临床信息系统的平滑接入与扩展，可通过接口对接、数据集成、服务注册等方式，与医院现有 HIS、LIS、PACS、电子病历、集成平台等核心业务系统实现互联互通</w:t>
            </w:r>
            <w:r>
              <w:rPr>
                <w:rFonts w:hint="eastAsia" w:ascii="宋体" w:hAnsi="宋体" w:eastAsia="宋体" w:cstheme="minorBidi"/>
                <w:color w:val="333333"/>
                <w:sz w:val="24"/>
                <w:szCs w:val="22"/>
                <w:lang w:val="en-US" w:eastAsia="zh-CN" w:bidi="ar-SA"/>
              </w:rPr>
              <w:t>。能与院方现有医技预约系统对接，获取患者预约时间，接收预约系统的签到信息，变更签到状态。</w:t>
            </w:r>
          </w:p>
        </w:tc>
      </w:tr>
      <w:tr w14:paraId="340C4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55" w:type="pct"/>
            <w:vMerge w:val="restart"/>
            <w:noWrap w:val="0"/>
            <w:vAlign w:val="center"/>
          </w:tcPr>
          <w:p w14:paraId="0556C3AF">
            <w:pPr>
              <w:widowControl/>
              <w:spacing w:line="300" w:lineRule="exact"/>
              <w:jc w:val="center"/>
              <w:rPr>
                <w:rFonts w:hint="eastAsia" w:ascii="宋体" w:hAnsi="宋体" w:eastAsia="宋体" w:cstheme="minorBidi"/>
                <w:color w:val="333333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color w:val="333333"/>
                <w:sz w:val="24"/>
                <w:szCs w:val="22"/>
                <w:lang w:val="en-US" w:eastAsia="zh-CN" w:bidi="ar-SA"/>
              </w:rPr>
              <w:t>2</w:t>
            </w:r>
          </w:p>
        </w:tc>
        <w:tc>
          <w:tcPr>
            <w:tcW w:w="1273" w:type="pct"/>
            <w:vMerge w:val="restart"/>
            <w:noWrap w:val="0"/>
            <w:vAlign w:val="center"/>
          </w:tcPr>
          <w:p w14:paraId="1A7D13AA">
            <w:pPr>
              <w:widowControl/>
              <w:spacing w:line="300" w:lineRule="exact"/>
              <w:jc w:val="center"/>
              <w:rPr>
                <w:rFonts w:hint="eastAsia" w:ascii="宋体" w:hAnsi="宋体" w:eastAsia="宋体" w:cstheme="minorBidi"/>
                <w:color w:val="333333"/>
                <w:sz w:val="24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theme="minorBidi"/>
                <w:color w:val="333333"/>
                <w:sz w:val="24"/>
                <w:szCs w:val="22"/>
                <w:lang w:val="en-US" w:eastAsia="en-US" w:bidi="ar-SA"/>
              </w:rPr>
              <w:t>缴费查询功能</w:t>
            </w:r>
          </w:p>
        </w:tc>
        <w:tc>
          <w:tcPr>
            <w:tcW w:w="3271" w:type="pct"/>
            <w:noWrap w:val="0"/>
            <w:vAlign w:val="center"/>
          </w:tcPr>
          <w:p w14:paraId="784AD3F1">
            <w:pPr>
              <w:widowControl/>
              <w:spacing w:line="300" w:lineRule="exact"/>
              <w:jc w:val="left"/>
              <w:rPr>
                <w:rFonts w:hint="eastAsia" w:ascii="宋体" w:hAnsi="宋体" w:eastAsia="宋体" w:cstheme="minorBidi"/>
                <w:color w:val="333333"/>
                <w:sz w:val="24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theme="minorBidi"/>
                <w:color w:val="333333"/>
                <w:sz w:val="24"/>
                <w:szCs w:val="22"/>
                <w:lang w:val="en-US" w:eastAsia="en-US" w:bidi="ar-SA"/>
              </w:rPr>
              <w:t>操作人员扫描患者检查申请单二维码，查询提示患者缴费情况。</w:t>
            </w:r>
          </w:p>
        </w:tc>
      </w:tr>
      <w:tr w14:paraId="6F82D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55" w:type="pct"/>
            <w:vMerge w:val="continue"/>
            <w:noWrap w:val="0"/>
            <w:vAlign w:val="center"/>
          </w:tcPr>
          <w:p w14:paraId="57ABE3DC">
            <w:pPr>
              <w:widowControl/>
              <w:spacing w:line="300" w:lineRule="exact"/>
              <w:jc w:val="center"/>
              <w:rPr>
                <w:rFonts w:hint="eastAsia" w:ascii="宋体" w:hAnsi="宋体" w:eastAsia="宋体" w:cstheme="minorBidi"/>
                <w:color w:val="333333"/>
                <w:sz w:val="24"/>
                <w:szCs w:val="22"/>
                <w:lang w:val="en-US" w:eastAsia="en-US" w:bidi="ar-SA"/>
              </w:rPr>
            </w:pPr>
          </w:p>
        </w:tc>
        <w:tc>
          <w:tcPr>
            <w:tcW w:w="1273" w:type="pct"/>
            <w:vMerge w:val="continue"/>
            <w:noWrap w:val="0"/>
            <w:vAlign w:val="center"/>
          </w:tcPr>
          <w:p w14:paraId="2CAF736E">
            <w:pPr>
              <w:widowControl/>
              <w:spacing w:line="300" w:lineRule="exact"/>
              <w:jc w:val="center"/>
              <w:rPr>
                <w:rFonts w:hint="eastAsia" w:ascii="宋体" w:hAnsi="宋体" w:eastAsia="宋体" w:cstheme="minorBidi"/>
                <w:color w:val="333333"/>
                <w:sz w:val="24"/>
                <w:szCs w:val="22"/>
                <w:lang w:val="en-US" w:eastAsia="en-US" w:bidi="ar-SA"/>
              </w:rPr>
            </w:pPr>
          </w:p>
        </w:tc>
        <w:tc>
          <w:tcPr>
            <w:tcW w:w="3271" w:type="pct"/>
            <w:noWrap w:val="0"/>
            <w:vAlign w:val="center"/>
          </w:tcPr>
          <w:p w14:paraId="4A9B503B">
            <w:pPr>
              <w:widowControl/>
              <w:spacing w:line="300" w:lineRule="exact"/>
              <w:jc w:val="left"/>
              <w:rPr>
                <w:rFonts w:hint="eastAsia" w:ascii="宋体" w:hAnsi="宋体" w:eastAsia="宋体" w:cstheme="minorBidi"/>
                <w:color w:val="333333"/>
                <w:sz w:val="24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theme="minorBidi"/>
                <w:color w:val="333333"/>
                <w:sz w:val="24"/>
                <w:szCs w:val="22"/>
                <w:lang w:val="en-US" w:eastAsia="en-US" w:bidi="ar-SA"/>
              </w:rPr>
              <w:t>患者开具的检查项目，对实际检查项目不影响，如支气管舒张试验及激发试验，需根据患者肺通气报告选择检查项目。</w:t>
            </w:r>
          </w:p>
        </w:tc>
      </w:tr>
      <w:tr w14:paraId="61BC7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455" w:type="pct"/>
            <w:shd w:val="clear" w:color="auto" w:fill="auto"/>
            <w:noWrap w:val="0"/>
            <w:vAlign w:val="center"/>
          </w:tcPr>
          <w:p w14:paraId="21F5C4D5">
            <w:pPr>
              <w:widowControl/>
              <w:spacing w:line="300" w:lineRule="exact"/>
              <w:jc w:val="center"/>
              <w:rPr>
                <w:rFonts w:hint="default" w:ascii="宋体" w:hAnsi="宋体" w:eastAsia="宋体" w:cstheme="minorBidi"/>
                <w:color w:val="333333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color w:val="333333"/>
                <w:sz w:val="24"/>
                <w:szCs w:val="22"/>
                <w:lang w:val="en-US" w:eastAsia="zh-CN" w:bidi="ar-SA"/>
              </w:rPr>
              <w:t>3</w:t>
            </w:r>
          </w:p>
        </w:tc>
        <w:tc>
          <w:tcPr>
            <w:tcW w:w="1273" w:type="pct"/>
            <w:shd w:val="clear" w:color="auto" w:fill="auto"/>
            <w:noWrap w:val="0"/>
            <w:vAlign w:val="center"/>
          </w:tcPr>
          <w:p w14:paraId="1974D369">
            <w:pPr>
              <w:widowControl/>
              <w:spacing w:line="300" w:lineRule="exact"/>
              <w:jc w:val="center"/>
              <w:rPr>
                <w:rFonts w:hint="eastAsia" w:ascii="宋体" w:hAnsi="宋体" w:eastAsia="宋体" w:cstheme="minorBidi"/>
                <w:color w:val="333333"/>
                <w:sz w:val="24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theme="minorBidi"/>
                <w:color w:val="333333"/>
                <w:sz w:val="24"/>
                <w:szCs w:val="22"/>
                <w:lang w:val="en-US" w:eastAsia="en-US" w:bidi="ar-SA"/>
              </w:rPr>
              <w:t>科室分级管理</w:t>
            </w:r>
          </w:p>
        </w:tc>
        <w:tc>
          <w:tcPr>
            <w:tcW w:w="3271" w:type="pct"/>
            <w:shd w:val="clear" w:color="auto" w:fill="auto"/>
            <w:noWrap w:val="0"/>
            <w:vAlign w:val="center"/>
          </w:tcPr>
          <w:p w14:paraId="31FF80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theme="minorBidi"/>
                <w:color w:val="333333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color w:val="333333"/>
                <w:sz w:val="24"/>
                <w:szCs w:val="22"/>
                <w:lang w:val="en-US" w:eastAsia="zh-CN" w:bidi="ar-SA"/>
              </w:rPr>
              <w:t>按医院 / 单位内部组织架构，实现科室分级配置，支持多级科室结构。</w:t>
            </w:r>
          </w:p>
          <w:p w14:paraId="6A4AA5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theme="minorBidi"/>
                <w:color w:val="333333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color w:val="333333"/>
                <w:sz w:val="24"/>
                <w:szCs w:val="22"/>
                <w:lang w:val="en-US" w:eastAsia="zh-CN" w:bidi="ar-SA"/>
              </w:rPr>
              <w:t>不同科室用户仅可查看、操作本科室及下级科室数据，无法访问其他科室数据。</w:t>
            </w:r>
          </w:p>
          <w:p w14:paraId="3A741810">
            <w:pPr>
              <w:widowControl/>
              <w:spacing w:line="300" w:lineRule="exact"/>
              <w:jc w:val="left"/>
              <w:rPr>
                <w:rFonts w:hint="eastAsia" w:ascii="宋体" w:hAnsi="宋体" w:eastAsia="宋体" w:cstheme="minorBidi"/>
                <w:color w:val="333333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color w:val="333333"/>
                <w:sz w:val="24"/>
                <w:szCs w:val="22"/>
                <w:lang w:val="en-US" w:eastAsia="zh-CN" w:bidi="ar-SA"/>
              </w:rPr>
              <w:t>实现科室间数据物理 / 逻辑隔离，确保数据安全、权责清晰、隐私合规</w:t>
            </w:r>
            <w:r>
              <w:rPr>
                <w:rFonts w:hint="eastAsia" w:ascii="宋体" w:hAnsi="宋体" w:eastAsia="宋体" w:cstheme="minorBidi"/>
                <w:color w:val="333333"/>
                <w:sz w:val="24"/>
                <w:szCs w:val="22"/>
                <w:lang w:val="en-US" w:eastAsia="zh-CN" w:bidi="ar-SA"/>
              </w:rPr>
              <w:t>。</w:t>
            </w:r>
          </w:p>
        </w:tc>
      </w:tr>
      <w:tr w14:paraId="34164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455" w:type="pct"/>
            <w:shd w:val="clear" w:color="auto" w:fill="auto"/>
            <w:noWrap w:val="0"/>
            <w:vAlign w:val="center"/>
          </w:tcPr>
          <w:p w14:paraId="2CE61A04">
            <w:pPr>
              <w:widowControl/>
              <w:spacing w:line="300" w:lineRule="exact"/>
              <w:jc w:val="center"/>
              <w:rPr>
                <w:rFonts w:hint="default" w:ascii="宋体" w:hAnsi="宋体" w:eastAsia="宋体" w:cstheme="minorBidi"/>
                <w:color w:val="333333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color w:val="333333"/>
                <w:sz w:val="24"/>
                <w:szCs w:val="22"/>
                <w:lang w:val="en-US" w:eastAsia="zh-CN" w:bidi="ar-SA"/>
              </w:rPr>
              <w:t>4</w:t>
            </w:r>
          </w:p>
        </w:tc>
        <w:tc>
          <w:tcPr>
            <w:tcW w:w="1273" w:type="pct"/>
            <w:shd w:val="clear" w:color="auto" w:fill="auto"/>
            <w:noWrap w:val="0"/>
            <w:vAlign w:val="center"/>
          </w:tcPr>
          <w:p w14:paraId="3CB2E2CE">
            <w:pPr>
              <w:widowControl/>
              <w:spacing w:line="300" w:lineRule="exact"/>
              <w:jc w:val="center"/>
              <w:rPr>
                <w:rFonts w:hint="default" w:ascii="宋体" w:hAnsi="宋体" w:eastAsia="宋体" w:cstheme="minorBidi"/>
                <w:color w:val="333333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color w:val="333333"/>
                <w:sz w:val="24"/>
                <w:szCs w:val="22"/>
                <w:lang w:val="en-US" w:eastAsia="en-US" w:bidi="ar-SA"/>
              </w:rPr>
              <w:t>报告审核</w:t>
            </w:r>
            <w:r>
              <w:rPr>
                <w:rFonts w:hint="eastAsia" w:ascii="宋体" w:hAnsi="宋体" w:eastAsia="宋体" w:cstheme="minorBidi"/>
                <w:color w:val="333333"/>
                <w:sz w:val="24"/>
                <w:szCs w:val="22"/>
                <w:lang w:val="en-US" w:eastAsia="zh-CN" w:bidi="ar-SA"/>
              </w:rPr>
              <w:t>流程管理</w:t>
            </w:r>
          </w:p>
        </w:tc>
        <w:tc>
          <w:tcPr>
            <w:tcW w:w="3271" w:type="pct"/>
            <w:shd w:val="clear" w:color="auto" w:fill="auto"/>
            <w:noWrap w:val="0"/>
            <w:vAlign w:val="center"/>
          </w:tcPr>
          <w:p w14:paraId="664CAFBB">
            <w:pPr>
              <w:widowControl/>
              <w:spacing w:line="300" w:lineRule="exact"/>
              <w:jc w:val="left"/>
              <w:rPr>
                <w:rFonts w:hint="eastAsia" w:ascii="宋体" w:hAnsi="宋体" w:eastAsia="宋体" w:cstheme="minorBidi"/>
                <w:color w:val="333333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color w:val="333333"/>
                <w:sz w:val="24"/>
                <w:szCs w:val="22"/>
                <w:lang w:val="en-US" w:eastAsia="zh-CN" w:bidi="ar-SA"/>
              </w:rPr>
              <w:t>操作人员在提交报告时，可从当日值班医生列表中选择对应审核人。</w:t>
            </w:r>
          </w:p>
          <w:p w14:paraId="0CE21EA6">
            <w:pPr>
              <w:widowControl/>
              <w:spacing w:line="300" w:lineRule="exact"/>
              <w:jc w:val="left"/>
              <w:rPr>
                <w:rFonts w:hint="eastAsia" w:ascii="宋体" w:hAnsi="宋体" w:eastAsia="宋体" w:cstheme="minorBidi"/>
                <w:color w:val="333333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color w:val="333333"/>
                <w:sz w:val="24"/>
                <w:szCs w:val="22"/>
                <w:lang w:val="en-US" w:eastAsia="zh-CN" w:bidi="ar-SA"/>
              </w:rPr>
              <w:t>系统自动关联并上传所选审核医生及操作人员的电子签名。</w:t>
            </w:r>
          </w:p>
          <w:p w14:paraId="5215A761">
            <w:pPr>
              <w:widowControl/>
              <w:spacing w:line="300" w:lineRule="exact"/>
              <w:jc w:val="left"/>
              <w:rPr>
                <w:rFonts w:hint="eastAsia" w:ascii="宋体" w:hAnsi="宋体" w:eastAsia="宋体" w:cstheme="minorBidi"/>
                <w:color w:val="333333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color w:val="333333"/>
                <w:sz w:val="24"/>
                <w:szCs w:val="22"/>
                <w:lang w:val="en-US" w:eastAsia="zh-CN" w:bidi="ar-SA"/>
              </w:rPr>
              <w:t>电子签随报告一并归档，形成完整可追溯的审核记录</w:t>
            </w:r>
          </w:p>
          <w:p w14:paraId="56D8E00C">
            <w:pPr>
              <w:widowControl/>
              <w:spacing w:line="300" w:lineRule="exact"/>
              <w:jc w:val="left"/>
              <w:rPr>
                <w:rFonts w:hint="default" w:ascii="宋体" w:hAnsi="宋体" w:eastAsia="宋体" w:cstheme="minorBidi"/>
                <w:color w:val="333333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color w:val="333333"/>
                <w:sz w:val="24"/>
                <w:szCs w:val="22"/>
                <w:lang w:val="en-US" w:eastAsia="zh-CN" w:bidi="ar-SA"/>
              </w:rPr>
              <w:t>报告上传文件格式支持PDF、OFD</w:t>
            </w:r>
          </w:p>
        </w:tc>
      </w:tr>
      <w:tr w14:paraId="6FB44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55" w:type="pct"/>
            <w:noWrap w:val="0"/>
            <w:vAlign w:val="center"/>
          </w:tcPr>
          <w:p w14:paraId="4712755E">
            <w:pPr>
              <w:widowControl/>
              <w:spacing w:line="300" w:lineRule="exact"/>
              <w:jc w:val="center"/>
              <w:rPr>
                <w:rFonts w:hint="eastAsia" w:ascii="宋体" w:hAnsi="宋体" w:eastAsia="宋体" w:cstheme="minorBidi"/>
                <w:color w:val="333333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color w:val="333333"/>
                <w:sz w:val="24"/>
                <w:szCs w:val="22"/>
                <w:lang w:val="en-US" w:eastAsia="zh-CN" w:bidi="ar-SA"/>
              </w:rPr>
              <w:t>5</w:t>
            </w:r>
          </w:p>
        </w:tc>
        <w:tc>
          <w:tcPr>
            <w:tcW w:w="1273" w:type="pct"/>
            <w:noWrap w:val="0"/>
            <w:vAlign w:val="center"/>
          </w:tcPr>
          <w:p w14:paraId="0DC30C10">
            <w:pPr>
              <w:widowControl/>
              <w:spacing w:line="300" w:lineRule="exact"/>
              <w:jc w:val="center"/>
              <w:rPr>
                <w:rFonts w:hint="default" w:ascii="宋体" w:hAnsi="宋体" w:eastAsia="宋体" w:cstheme="minorBidi"/>
                <w:color w:val="333333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color w:val="333333"/>
                <w:sz w:val="24"/>
                <w:szCs w:val="22"/>
                <w:lang w:val="en-US" w:eastAsia="zh-CN" w:bidi="ar-SA"/>
              </w:rPr>
              <w:t>工作量统计</w:t>
            </w:r>
          </w:p>
        </w:tc>
        <w:tc>
          <w:tcPr>
            <w:tcW w:w="3271" w:type="pct"/>
            <w:noWrap w:val="0"/>
            <w:vAlign w:val="center"/>
          </w:tcPr>
          <w:p w14:paraId="388C0FD0">
            <w:pPr>
              <w:widowControl/>
              <w:spacing w:line="300" w:lineRule="exact"/>
              <w:jc w:val="left"/>
              <w:rPr>
                <w:rFonts w:hint="eastAsia" w:ascii="宋体" w:hAnsi="宋体" w:eastAsia="宋体" w:cstheme="minorBidi"/>
                <w:color w:val="333333"/>
                <w:sz w:val="24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theme="minorBidi"/>
                <w:color w:val="333333"/>
                <w:sz w:val="24"/>
                <w:szCs w:val="22"/>
                <w:lang w:val="en-US" w:eastAsia="en-US" w:bidi="ar-SA"/>
              </w:rPr>
              <w:t>按患者信息、检查项目、年度、季度、月度等多维度进行灵活查询与筛选，可自动生成科室工作量统计报表，实现检查人次、项目数量等关键指标的汇总、分析与展示，满足科室日常管理、绩效核算、工作量统计与业务分析需求。</w:t>
            </w:r>
          </w:p>
        </w:tc>
      </w:tr>
      <w:tr w14:paraId="34AC6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455" w:type="pct"/>
            <w:noWrap w:val="0"/>
            <w:vAlign w:val="center"/>
          </w:tcPr>
          <w:p w14:paraId="06812614">
            <w:pPr>
              <w:widowControl/>
              <w:spacing w:line="300" w:lineRule="exact"/>
              <w:jc w:val="center"/>
              <w:rPr>
                <w:rFonts w:hint="eastAsia" w:ascii="宋体" w:hAnsi="宋体" w:eastAsia="宋体" w:cstheme="minorBidi"/>
                <w:color w:val="333333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color w:val="333333"/>
                <w:sz w:val="24"/>
                <w:szCs w:val="22"/>
                <w:lang w:val="en-US" w:eastAsia="zh-CN" w:bidi="ar-SA"/>
              </w:rPr>
              <w:t>6</w:t>
            </w:r>
          </w:p>
        </w:tc>
        <w:tc>
          <w:tcPr>
            <w:tcW w:w="1273" w:type="pct"/>
            <w:noWrap w:val="0"/>
            <w:vAlign w:val="center"/>
          </w:tcPr>
          <w:p w14:paraId="63E8FF9B">
            <w:pPr>
              <w:widowControl/>
              <w:spacing w:line="300" w:lineRule="exact"/>
              <w:jc w:val="center"/>
              <w:rPr>
                <w:rFonts w:hint="eastAsia" w:ascii="宋体" w:hAnsi="宋体" w:eastAsia="宋体" w:cstheme="minorBidi"/>
                <w:color w:val="333333"/>
                <w:sz w:val="24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theme="minorBidi"/>
                <w:color w:val="333333"/>
                <w:sz w:val="24"/>
                <w:szCs w:val="22"/>
                <w:lang w:val="en-US" w:eastAsia="en-US" w:bidi="ar-SA"/>
              </w:rPr>
              <w:t>CA对接</w:t>
            </w:r>
          </w:p>
        </w:tc>
        <w:tc>
          <w:tcPr>
            <w:tcW w:w="3271" w:type="pct"/>
            <w:noWrap w:val="0"/>
            <w:vAlign w:val="center"/>
          </w:tcPr>
          <w:p w14:paraId="379BAA11">
            <w:pPr>
              <w:widowControl/>
              <w:spacing w:line="300" w:lineRule="exact"/>
              <w:jc w:val="left"/>
              <w:rPr>
                <w:rFonts w:hint="eastAsia" w:ascii="宋体" w:hAnsi="宋体" w:eastAsia="宋体" w:cstheme="minorBidi"/>
                <w:color w:val="333333"/>
                <w:sz w:val="24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theme="minorBidi"/>
                <w:color w:val="333333"/>
                <w:sz w:val="24"/>
                <w:szCs w:val="22"/>
                <w:lang w:val="en-US" w:eastAsia="en-US" w:bidi="ar-SA"/>
              </w:rPr>
              <w:t>▲支持CA 数字证书接入，为医疗档案提供可靠电子签名，保障电子文书合法有效、防篡改、可追溯。</w:t>
            </w:r>
          </w:p>
        </w:tc>
      </w:tr>
      <w:tr w14:paraId="72EE5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55" w:type="pct"/>
            <w:noWrap w:val="0"/>
            <w:vAlign w:val="center"/>
          </w:tcPr>
          <w:p w14:paraId="2B9A365C">
            <w:pPr>
              <w:widowControl/>
              <w:spacing w:line="300" w:lineRule="exact"/>
              <w:jc w:val="center"/>
              <w:rPr>
                <w:rFonts w:hint="eastAsia" w:ascii="宋体" w:hAnsi="宋体" w:eastAsia="宋体" w:cstheme="minorBidi"/>
                <w:color w:val="333333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color w:val="333333"/>
                <w:sz w:val="24"/>
                <w:szCs w:val="22"/>
                <w:lang w:val="en-US" w:eastAsia="zh-CN" w:bidi="ar-SA"/>
              </w:rPr>
              <w:t>7</w:t>
            </w:r>
          </w:p>
        </w:tc>
        <w:tc>
          <w:tcPr>
            <w:tcW w:w="1273" w:type="pct"/>
            <w:noWrap w:val="0"/>
            <w:vAlign w:val="center"/>
          </w:tcPr>
          <w:p w14:paraId="77EB95C9">
            <w:pPr>
              <w:widowControl/>
              <w:spacing w:line="300" w:lineRule="exact"/>
              <w:jc w:val="center"/>
              <w:rPr>
                <w:rFonts w:hint="eastAsia" w:ascii="宋体" w:hAnsi="宋体" w:eastAsia="宋体" w:cstheme="minorBidi"/>
                <w:color w:val="333333"/>
                <w:sz w:val="24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theme="minorBidi"/>
                <w:color w:val="333333"/>
                <w:sz w:val="24"/>
                <w:szCs w:val="22"/>
                <w:lang w:val="en-US" w:eastAsia="en-US" w:bidi="ar-SA"/>
              </w:rPr>
              <w:t>外部对接查询功能</w:t>
            </w:r>
          </w:p>
        </w:tc>
        <w:tc>
          <w:tcPr>
            <w:tcW w:w="3271" w:type="pct"/>
            <w:noWrap w:val="0"/>
            <w:vAlign w:val="center"/>
          </w:tcPr>
          <w:p w14:paraId="5634C77B">
            <w:pPr>
              <w:widowControl/>
              <w:spacing w:line="300" w:lineRule="exact"/>
              <w:jc w:val="left"/>
              <w:rPr>
                <w:rFonts w:hint="eastAsia" w:ascii="宋体" w:hAnsi="宋体" w:eastAsia="宋体" w:cstheme="minorBidi"/>
                <w:color w:val="333333"/>
                <w:sz w:val="24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theme="minorBidi"/>
                <w:color w:val="333333"/>
                <w:sz w:val="24"/>
                <w:szCs w:val="22"/>
                <w:lang w:val="en-US" w:eastAsia="en-US" w:bidi="ar-SA"/>
              </w:rPr>
              <w:t>▲支持与电子病历（EMR）系统深度集成，可在 EMR 界面直接调用、查看患者相关的电子检查 / 检验报告，实现临床诊疗信息实时共享、一键调阅、闭环展示</w:t>
            </w:r>
            <w:r>
              <w:rPr>
                <w:rFonts w:hint="eastAsia" w:ascii="宋体" w:hAnsi="宋体" w:eastAsia="宋体" w:cstheme="minorBidi"/>
                <w:color w:val="333333"/>
                <w:sz w:val="24"/>
                <w:szCs w:val="22"/>
                <w:lang w:val="en-US" w:eastAsia="zh-CN" w:bidi="ar-SA"/>
              </w:rPr>
              <w:t>（需上传各个检查环节的节点时间和操作人，包括：检查签到、入室核对、检查开始、检查完成、报告审核）</w:t>
            </w:r>
            <w:r>
              <w:rPr>
                <w:rFonts w:hint="eastAsia" w:ascii="宋体" w:hAnsi="宋体" w:eastAsia="宋体" w:cstheme="minorBidi"/>
                <w:color w:val="333333"/>
                <w:sz w:val="24"/>
                <w:szCs w:val="22"/>
                <w:lang w:val="en-US" w:eastAsia="en-US" w:bidi="ar-SA"/>
              </w:rPr>
              <w:t>，提升医生诊疗效率与临床数据使用便捷性。</w:t>
            </w:r>
          </w:p>
        </w:tc>
      </w:tr>
      <w:tr w14:paraId="2ED51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55" w:type="pct"/>
            <w:noWrap w:val="0"/>
            <w:vAlign w:val="center"/>
          </w:tcPr>
          <w:p w14:paraId="634C20AB">
            <w:pPr>
              <w:widowControl/>
              <w:spacing w:line="300" w:lineRule="exact"/>
              <w:jc w:val="center"/>
              <w:rPr>
                <w:rFonts w:hint="default" w:ascii="宋体" w:hAnsi="宋体" w:eastAsia="宋体" w:cstheme="minorBidi"/>
                <w:color w:val="333333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color w:val="333333"/>
                <w:sz w:val="24"/>
                <w:szCs w:val="22"/>
                <w:lang w:val="en-US" w:eastAsia="zh-CN" w:bidi="ar-SA"/>
              </w:rPr>
              <w:t>8</w:t>
            </w:r>
          </w:p>
        </w:tc>
        <w:tc>
          <w:tcPr>
            <w:tcW w:w="1273" w:type="pct"/>
            <w:noWrap w:val="0"/>
            <w:vAlign w:val="center"/>
          </w:tcPr>
          <w:p w14:paraId="63C18198">
            <w:pPr>
              <w:widowControl/>
              <w:spacing w:line="300" w:lineRule="exact"/>
              <w:jc w:val="center"/>
              <w:rPr>
                <w:rFonts w:hint="default" w:ascii="宋体" w:hAnsi="宋体" w:eastAsia="宋体" w:cstheme="minorBidi"/>
                <w:color w:val="333333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color w:val="333333"/>
                <w:sz w:val="24"/>
                <w:szCs w:val="22"/>
                <w:lang w:val="en-US" w:eastAsia="zh-CN" w:bidi="ar-SA"/>
              </w:rPr>
              <w:t>扫码录入</w:t>
            </w:r>
          </w:p>
        </w:tc>
        <w:tc>
          <w:tcPr>
            <w:tcW w:w="3271" w:type="pct"/>
            <w:noWrap w:val="0"/>
            <w:vAlign w:val="center"/>
          </w:tcPr>
          <w:p w14:paraId="7A64776A">
            <w:pPr>
              <w:widowControl/>
              <w:spacing w:line="300" w:lineRule="exact"/>
              <w:jc w:val="left"/>
              <w:rPr>
                <w:rFonts w:hint="default" w:ascii="宋体" w:hAnsi="宋体" w:eastAsia="宋体" w:cstheme="minorBidi"/>
                <w:color w:val="333333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color w:val="333333"/>
                <w:sz w:val="24"/>
                <w:szCs w:val="22"/>
                <w:lang w:val="en-US" w:eastAsia="zh-CN" w:bidi="ar-SA"/>
              </w:rPr>
              <w:t>支持肺功能检查仪扫码录入，</w:t>
            </w:r>
            <w:r>
              <w:rPr>
                <w:rFonts w:hint="eastAsia" w:ascii="宋体" w:hAnsi="宋体" w:eastAsia="宋体" w:cstheme="minorBidi"/>
                <w:color w:val="333333"/>
                <w:sz w:val="24"/>
                <w:szCs w:val="22"/>
                <w:lang w:val="en-US" w:eastAsia="en-US" w:bidi="ar-SA"/>
              </w:rPr>
              <w:t>操作人员扫码门诊患者和住院患者信息,系统会自动导入基本信息到检查设备。</w:t>
            </w:r>
          </w:p>
        </w:tc>
      </w:tr>
      <w:tr w14:paraId="6E49B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55" w:type="pct"/>
            <w:noWrap w:val="0"/>
            <w:vAlign w:val="center"/>
          </w:tcPr>
          <w:p w14:paraId="03CD2FA3">
            <w:pPr>
              <w:widowControl/>
              <w:spacing w:line="300" w:lineRule="exact"/>
              <w:jc w:val="center"/>
              <w:rPr>
                <w:rFonts w:hint="default" w:ascii="宋体" w:hAnsi="宋体" w:eastAsia="宋体" w:cstheme="minorBidi"/>
                <w:color w:val="333333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color w:val="333333"/>
                <w:sz w:val="24"/>
                <w:szCs w:val="22"/>
                <w:lang w:val="en-US" w:eastAsia="zh-CN" w:bidi="ar-SA"/>
              </w:rPr>
              <w:t>9</w:t>
            </w:r>
          </w:p>
        </w:tc>
        <w:tc>
          <w:tcPr>
            <w:tcW w:w="1273" w:type="pct"/>
            <w:noWrap w:val="0"/>
            <w:vAlign w:val="center"/>
          </w:tcPr>
          <w:p w14:paraId="276462B0">
            <w:pPr>
              <w:widowControl/>
              <w:spacing w:line="300" w:lineRule="exact"/>
              <w:jc w:val="center"/>
              <w:rPr>
                <w:rFonts w:hint="default" w:ascii="宋体" w:hAnsi="宋体" w:eastAsia="宋体" w:cstheme="minorBidi"/>
                <w:color w:val="333333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color w:val="333333"/>
                <w:sz w:val="24"/>
                <w:szCs w:val="22"/>
                <w:lang w:val="en-US" w:eastAsia="zh-CN" w:bidi="ar-SA"/>
              </w:rPr>
              <w:t>系统兼容性</w:t>
            </w:r>
          </w:p>
        </w:tc>
        <w:tc>
          <w:tcPr>
            <w:tcW w:w="3271" w:type="pct"/>
            <w:noWrap w:val="0"/>
            <w:vAlign w:val="center"/>
          </w:tcPr>
          <w:p w14:paraId="1C83B30F">
            <w:pPr>
              <w:widowControl/>
              <w:spacing w:line="300" w:lineRule="exact"/>
              <w:jc w:val="left"/>
              <w:rPr>
                <w:rFonts w:hint="eastAsia" w:ascii="宋体" w:hAnsi="宋体" w:eastAsia="宋体" w:cstheme="minorBidi"/>
                <w:color w:val="333333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color w:val="333333"/>
                <w:sz w:val="24"/>
                <w:szCs w:val="22"/>
                <w:lang w:val="en-US" w:eastAsia="zh-CN" w:bidi="ar-SA"/>
              </w:rPr>
              <w:t>系统具备良好的软件兼容性，支持接入可导出报告文件的各类检查设备，能够自动解析、接收与处理多种设备输出的报告文件，支持PDF、Word、Excel等多种常用文件格式，实现报告数据统一归集、展示与管理，满足多设备、多格式报告接入与一体化应用需求。</w:t>
            </w:r>
          </w:p>
        </w:tc>
      </w:tr>
      <w:tr w14:paraId="1C96A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55" w:type="pct"/>
            <w:noWrap w:val="0"/>
            <w:vAlign w:val="center"/>
          </w:tcPr>
          <w:p w14:paraId="7BF1D8C2">
            <w:pPr>
              <w:widowControl/>
              <w:spacing w:line="300" w:lineRule="exact"/>
              <w:jc w:val="center"/>
              <w:rPr>
                <w:rFonts w:hint="default" w:ascii="宋体" w:hAnsi="宋体" w:eastAsia="宋体" w:cstheme="minorBidi"/>
                <w:color w:val="333333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color w:val="333333"/>
                <w:sz w:val="24"/>
                <w:szCs w:val="22"/>
                <w:lang w:val="en-US" w:eastAsia="zh-CN" w:bidi="ar-SA"/>
              </w:rPr>
              <w:t>10</w:t>
            </w:r>
          </w:p>
        </w:tc>
        <w:tc>
          <w:tcPr>
            <w:tcW w:w="1273" w:type="pct"/>
            <w:noWrap w:val="0"/>
            <w:vAlign w:val="center"/>
          </w:tcPr>
          <w:p w14:paraId="4E391831">
            <w:pPr>
              <w:widowControl/>
              <w:spacing w:line="300" w:lineRule="exact"/>
              <w:jc w:val="center"/>
              <w:rPr>
                <w:rFonts w:hint="default" w:ascii="宋体" w:hAnsi="宋体" w:eastAsia="宋体" w:cstheme="minorBidi"/>
                <w:color w:val="333333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color w:val="333333"/>
                <w:sz w:val="24"/>
                <w:szCs w:val="22"/>
                <w:lang w:val="en-US" w:eastAsia="zh-CN" w:bidi="ar-SA"/>
              </w:rPr>
              <w:t>数据解析</w:t>
            </w:r>
          </w:p>
        </w:tc>
        <w:tc>
          <w:tcPr>
            <w:tcW w:w="3271" w:type="pct"/>
            <w:noWrap w:val="0"/>
            <w:vAlign w:val="center"/>
          </w:tcPr>
          <w:p w14:paraId="635F9857">
            <w:pPr>
              <w:widowControl/>
              <w:spacing w:line="300" w:lineRule="exact"/>
              <w:jc w:val="left"/>
              <w:rPr>
                <w:rFonts w:hint="default" w:ascii="宋体" w:hAnsi="宋体" w:eastAsia="宋体" w:cstheme="minorBidi"/>
                <w:color w:val="333333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color w:val="333333"/>
                <w:sz w:val="24"/>
                <w:szCs w:val="22"/>
                <w:lang w:val="en-US" w:eastAsia="zh-CN" w:bidi="ar-SA"/>
              </w:rPr>
              <w:t>系统需满足中山市卫生健康局发布的《关于加强肺功能检查操作</w:t>
            </w:r>
            <w:bookmarkStart w:id="0" w:name="_GoBack"/>
            <w:bookmarkEnd w:id="0"/>
            <w:r>
              <w:rPr>
                <w:rFonts w:hint="eastAsia" w:ascii="宋体" w:hAnsi="宋体" w:eastAsia="宋体" w:cstheme="minorBidi"/>
                <w:color w:val="333333"/>
                <w:sz w:val="24"/>
                <w:szCs w:val="22"/>
                <w:lang w:val="en-US" w:eastAsia="zh-CN" w:bidi="ar-SA"/>
              </w:rPr>
              <w:t>和报告质量管理的通知》中第三项【三、加强肺功能检查数据互联互通】的具体参数解析及数据管理</w:t>
            </w:r>
          </w:p>
        </w:tc>
      </w:tr>
    </w:tbl>
    <w:p w14:paraId="07BA71E3">
      <w:pPr>
        <w:pStyle w:val="147"/>
        <w:numPr>
          <w:ilvl w:val="0"/>
          <w:numId w:val="0"/>
        </w:numPr>
        <w:jc w:val="left"/>
        <w:rPr>
          <w:rFonts w:hint="eastAsia" w:ascii="宋体" w:hAnsi="宋体" w:eastAsia="宋体" w:cstheme="minorBidi"/>
          <w:color w:val="333333"/>
          <w:sz w:val="24"/>
          <w:szCs w:val="22"/>
          <w:lang w:val="en-US" w:eastAsia="zh-CN" w:bidi="ar-SA"/>
        </w:rPr>
      </w:pPr>
    </w:p>
    <w:p w14:paraId="0612C553">
      <w:pPr>
        <w:numPr>
          <w:ilvl w:val="0"/>
          <w:numId w:val="7"/>
        </w:numPr>
        <w:ind w:left="0" w:leftChars="0" w:firstLine="0" w:firstLineChars="0"/>
        <w:rPr>
          <w:rFonts w:hint="eastAsia" w:ascii="宋体" w:hAnsi="宋体" w:eastAsia="宋体" w:cstheme="minorBidi"/>
          <w:color w:val="333333"/>
          <w:sz w:val="24"/>
          <w:szCs w:val="22"/>
          <w:lang w:val="en-US" w:eastAsia="zh-CN" w:bidi="ar-SA"/>
        </w:rPr>
      </w:pPr>
      <w:r>
        <w:rPr>
          <w:rFonts w:hint="eastAsia" w:ascii="宋体" w:hAnsi="宋体" w:eastAsia="宋体" w:cstheme="minorBidi"/>
          <w:color w:val="333333"/>
          <w:sz w:val="24"/>
          <w:szCs w:val="22"/>
          <w:lang w:val="en-US" w:eastAsia="zh-CN" w:bidi="ar-SA"/>
        </w:rPr>
        <w:t>项目商务要求</w:t>
      </w:r>
    </w:p>
    <w:p w14:paraId="5B438B57">
      <w:pPr>
        <w:numPr>
          <w:ilvl w:val="0"/>
          <w:numId w:val="8"/>
        </w:numPr>
        <w:ind w:leftChars="0"/>
        <w:rPr>
          <w:rFonts w:hint="eastAsia" w:ascii="宋体" w:hAnsi="宋体" w:eastAsia="宋体" w:cstheme="minorBidi"/>
          <w:color w:val="333333"/>
          <w:sz w:val="24"/>
          <w:szCs w:val="22"/>
          <w:lang w:val="en-US" w:eastAsia="zh-CN" w:bidi="ar-SA"/>
        </w:rPr>
      </w:pPr>
      <w:r>
        <w:rPr>
          <w:rFonts w:hint="eastAsia" w:ascii="宋体" w:hAnsi="宋体" w:eastAsia="宋体" w:cstheme="minorBidi"/>
          <w:color w:val="333333"/>
          <w:sz w:val="24"/>
          <w:szCs w:val="22"/>
          <w:lang w:val="en-US" w:eastAsia="zh-CN" w:bidi="ar-SA"/>
        </w:rPr>
        <w:t>服务期：</w:t>
      </w:r>
    </w:p>
    <w:p w14:paraId="679FED89">
      <w:pPr>
        <w:numPr>
          <w:ilvl w:val="0"/>
          <w:numId w:val="0"/>
        </w:numPr>
        <w:rPr>
          <w:rFonts w:hint="eastAsia" w:ascii="宋体" w:hAnsi="宋体" w:eastAsia="宋体" w:cstheme="minorBidi"/>
          <w:color w:val="333333"/>
          <w:sz w:val="24"/>
          <w:szCs w:val="22"/>
          <w:lang w:val="en-US" w:eastAsia="zh-CN" w:bidi="ar-SA"/>
        </w:rPr>
      </w:pPr>
      <w:r>
        <w:rPr>
          <w:rFonts w:hint="eastAsia" w:ascii="宋体" w:hAnsi="宋体" w:eastAsia="宋体" w:cstheme="minorBidi"/>
          <w:color w:val="333333"/>
          <w:sz w:val="24"/>
          <w:szCs w:val="22"/>
          <w:lang w:val="en-US" w:eastAsia="zh-CN" w:bidi="ar-SA"/>
        </w:rPr>
        <w:t>项目验收后软件免费保修期2年。</w:t>
      </w:r>
      <w:r>
        <w:rPr>
          <w:rFonts w:hint="eastAsia" w:ascii="宋体" w:hAnsi="宋体" w:eastAsia="宋体" w:cs="宋体"/>
          <w:highlight w:val="none"/>
          <w:lang w:val="en-US" w:eastAsia="zh-CN"/>
        </w:rPr>
        <w:t xml:space="preserve">维保期结束后维保费用不超合同总价7%。 </w:t>
      </w:r>
      <w:r>
        <w:rPr>
          <w:rFonts w:hint="eastAsia" w:ascii="宋体" w:hAnsi="宋体" w:eastAsia="宋体" w:cstheme="minorBidi"/>
          <w:color w:val="333333"/>
          <w:sz w:val="24"/>
          <w:szCs w:val="22"/>
          <w:lang w:val="en-US" w:eastAsia="zh-CN" w:bidi="ar-SA"/>
        </w:rPr>
        <w:t>保修期内，年度定期预防性维护次数不少于2次/年。保修期内免工时费。</w:t>
      </w:r>
    </w:p>
    <w:p w14:paraId="4DB5CB8A">
      <w:pPr>
        <w:numPr>
          <w:ilvl w:val="0"/>
          <w:numId w:val="0"/>
        </w:numPr>
        <w:ind w:leftChars="0"/>
        <w:rPr>
          <w:rFonts w:hint="eastAsia" w:ascii="宋体" w:hAnsi="宋体" w:eastAsia="宋体" w:cstheme="minorBidi"/>
          <w:color w:val="333333"/>
          <w:sz w:val="24"/>
          <w:szCs w:val="22"/>
          <w:lang w:val="en-US" w:eastAsia="zh-CN" w:bidi="ar-SA"/>
        </w:rPr>
      </w:pPr>
      <w:r>
        <w:rPr>
          <w:rFonts w:hint="eastAsia" w:ascii="宋体" w:hAnsi="宋体" w:eastAsia="宋体" w:cstheme="minorBidi"/>
          <w:color w:val="333333"/>
          <w:sz w:val="24"/>
          <w:szCs w:val="22"/>
          <w:lang w:val="en-US" w:eastAsia="zh-CN" w:bidi="ar-SA"/>
        </w:rPr>
        <w:t>2、售后服务：</w:t>
      </w:r>
    </w:p>
    <w:p w14:paraId="499B2053">
      <w:pPr>
        <w:numPr>
          <w:ilvl w:val="0"/>
          <w:numId w:val="0"/>
        </w:numPr>
        <w:ind w:leftChars="0"/>
        <w:rPr>
          <w:rFonts w:hint="eastAsia" w:ascii="宋体" w:hAnsi="宋体" w:eastAsia="宋体" w:cstheme="minorBidi"/>
          <w:color w:val="333333"/>
          <w:sz w:val="24"/>
          <w:szCs w:val="22"/>
          <w:lang w:val="en-US" w:eastAsia="zh-CN" w:bidi="ar-SA"/>
        </w:rPr>
      </w:pPr>
      <w:r>
        <w:rPr>
          <w:rFonts w:hint="eastAsia" w:ascii="宋体" w:hAnsi="宋体" w:eastAsia="宋体" w:cstheme="minorBidi"/>
          <w:color w:val="333333"/>
          <w:sz w:val="24"/>
          <w:szCs w:val="22"/>
          <w:lang w:val="en-US" w:eastAsia="zh-CN" w:bidi="ar-SA"/>
        </w:rPr>
        <w:t>（1）故障维修响应时间</w:t>
      </w:r>
    </w:p>
    <w:p w14:paraId="650862F0">
      <w:pPr>
        <w:numPr>
          <w:ilvl w:val="0"/>
          <w:numId w:val="0"/>
        </w:numPr>
        <w:ind w:leftChars="0"/>
        <w:rPr>
          <w:rFonts w:hint="eastAsia" w:ascii="宋体" w:hAnsi="宋体" w:eastAsia="宋体" w:cstheme="minorBidi"/>
          <w:color w:val="333333"/>
          <w:sz w:val="24"/>
          <w:szCs w:val="22"/>
          <w:lang w:val="en-US" w:eastAsia="zh-CN" w:bidi="ar-SA"/>
        </w:rPr>
      </w:pPr>
      <w:r>
        <w:rPr>
          <w:rFonts w:hint="eastAsia" w:ascii="宋体" w:hAnsi="宋体" w:eastAsia="宋体" w:cstheme="minorBidi"/>
          <w:color w:val="333333"/>
          <w:sz w:val="24"/>
          <w:szCs w:val="22"/>
          <w:lang w:val="en-US" w:eastAsia="zh-CN" w:bidi="ar-SA"/>
        </w:rPr>
        <w:t>提供7*24小时技术支持，责任工程师的移动电话24小时保持畅通，电话技术支持服务的响应时间为1小时内，协作用户方工程师的日常维护，电话或远程控制不能解决的问题，24小时内现场服务解决。</w:t>
      </w:r>
    </w:p>
    <w:p w14:paraId="11CD5C35">
      <w:pPr>
        <w:numPr>
          <w:ilvl w:val="0"/>
          <w:numId w:val="9"/>
        </w:numPr>
        <w:ind w:leftChars="0"/>
        <w:rPr>
          <w:rFonts w:hint="eastAsia" w:ascii="宋体" w:hAnsi="宋体" w:eastAsia="宋体" w:cstheme="minorBidi"/>
          <w:color w:val="333333"/>
          <w:sz w:val="24"/>
          <w:szCs w:val="22"/>
          <w:lang w:val="en-US" w:eastAsia="zh-CN" w:bidi="ar-SA"/>
        </w:rPr>
      </w:pPr>
      <w:r>
        <w:rPr>
          <w:rFonts w:hint="eastAsia" w:ascii="宋体" w:hAnsi="宋体" w:eastAsia="宋体" w:cstheme="minorBidi"/>
          <w:color w:val="333333"/>
          <w:sz w:val="24"/>
          <w:szCs w:val="22"/>
          <w:lang w:val="en-US" w:eastAsia="zh-CN" w:bidi="ar-SA"/>
        </w:rPr>
        <w:t>合同期内程序修改</w:t>
      </w:r>
    </w:p>
    <w:p w14:paraId="694ABF7D">
      <w:pPr>
        <w:numPr>
          <w:ilvl w:val="0"/>
          <w:numId w:val="0"/>
        </w:numPr>
        <w:rPr>
          <w:rFonts w:hint="eastAsia" w:ascii="宋体" w:hAnsi="宋体" w:eastAsia="宋体" w:cstheme="minorBidi"/>
          <w:color w:val="333333"/>
          <w:sz w:val="24"/>
          <w:szCs w:val="22"/>
          <w:lang w:val="en-US" w:eastAsia="zh-CN" w:bidi="ar-SA"/>
        </w:rPr>
      </w:pPr>
      <w:r>
        <w:rPr>
          <w:rFonts w:hint="eastAsia" w:ascii="宋体" w:hAnsi="宋体" w:eastAsia="宋体" w:cstheme="minorBidi"/>
          <w:color w:val="333333"/>
          <w:sz w:val="24"/>
          <w:szCs w:val="22"/>
          <w:lang w:val="en-US" w:eastAsia="zh-CN" w:bidi="ar-SA"/>
        </w:rPr>
        <w:t>根据甲方要求免费提供任何修改，程序错误8小时内完成，工作报表三天内完成，其它如程序功能的增加或调整等一周内完成，因特殊原因不能按时完成时，必征得用户同意并在指定时间内完成。</w:t>
      </w:r>
    </w:p>
    <w:p w14:paraId="2D628414">
      <w:pPr>
        <w:numPr>
          <w:ilvl w:val="0"/>
          <w:numId w:val="9"/>
        </w:numPr>
        <w:ind w:left="0" w:leftChars="0" w:firstLine="0" w:firstLineChars="0"/>
        <w:rPr>
          <w:rFonts w:hint="eastAsia" w:ascii="宋体" w:hAnsi="宋体" w:eastAsia="宋体" w:cstheme="minorBidi"/>
          <w:color w:val="333333"/>
          <w:sz w:val="24"/>
          <w:szCs w:val="22"/>
          <w:lang w:val="en-US" w:eastAsia="zh-CN" w:bidi="ar-SA"/>
        </w:rPr>
      </w:pPr>
      <w:r>
        <w:rPr>
          <w:rFonts w:hint="eastAsia" w:ascii="宋体" w:hAnsi="宋体" w:eastAsia="宋体" w:cstheme="minorBidi"/>
          <w:color w:val="333333"/>
          <w:sz w:val="24"/>
          <w:szCs w:val="22"/>
          <w:lang w:val="en-US" w:eastAsia="zh-CN" w:bidi="ar-SA"/>
        </w:rPr>
        <w:t>质量保证</w:t>
      </w:r>
    </w:p>
    <w:p w14:paraId="3BAB1033">
      <w:pPr>
        <w:numPr>
          <w:ilvl w:val="0"/>
          <w:numId w:val="0"/>
        </w:numPr>
        <w:ind w:leftChars="0"/>
        <w:rPr>
          <w:rFonts w:hint="eastAsia" w:ascii="宋体" w:hAnsi="宋体" w:eastAsia="宋体" w:cstheme="minorBidi"/>
          <w:color w:val="333333"/>
          <w:sz w:val="24"/>
          <w:szCs w:val="22"/>
          <w:lang w:val="en-US" w:eastAsia="zh-CN" w:bidi="ar-SA"/>
        </w:rPr>
      </w:pPr>
      <w:r>
        <w:rPr>
          <w:rFonts w:hint="eastAsia" w:ascii="宋体" w:hAnsi="宋体" w:eastAsia="宋体" w:cstheme="minorBidi"/>
          <w:color w:val="333333"/>
          <w:sz w:val="24"/>
          <w:szCs w:val="22"/>
          <w:lang w:val="en-US" w:eastAsia="zh-CN" w:bidi="ar-SA"/>
        </w:rPr>
        <w:t>在保修期内,确保软件年运行率在95%以上，若不能达到此软件运行率，将作以下处理：a. 年运行率在90%—95%之间按一赔一延长保修期；b. 年运行率在85%—90%之间按一赔二延长保修期；c.年运行率低于85%，无条件赔偿用户的直接经济损失和间接经济损失，并重新计算保修期。注：年运行率=（365-停机天数）/365）。</w:t>
      </w:r>
    </w:p>
    <w:p w14:paraId="5EA34F95">
      <w:pPr>
        <w:numPr>
          <w:ilvl w:val="0"/>
          <w:numId w:val="9"/>
        </w:numPr>
        <w:ind w:left="0" w:leftChars="0" w:firstLine="0" w:firstLineChars="0"/>
        <w:rPr>
          <w:rFonts w:hint="eastAsia" w:ascii="宋体" w:hAnsi="宋体" w:eastAsia="宋体" w:cstheme="minorBidi"/>
          <w:color w:val="333333"/>
          <w:sz w:val="24"/>
          <w:szCs w:val="22"/>
          <w:lang w:val="en-US" w:eastAsia="zh-CN" w:bidi="ar-SA"/>
        </w:rPr>
      </w:pPr>
      <w:r>
        <w:rPr>
          <w:rFonts w:hint="eastAsia" w:ascii="宋体" w:hAnsi="宋体" w:eastAsia="宋体" w:cstheme="minorBidi"/>
          <w:color w:val="333333"/>
          <w:sz w:val="24"/>
          <w:szCs w:val="22"/>
          <w:lang w:val="en-US" w:eastAsia="zh-CN" w:bidi="ar-SA"/>
        </w:rPr>
        <w:t>培训方案</w:t>
      </w:r>
    </w:p>
    <w:p w14:paraId="5EBF45A7">
      <w:pPr>
        <w:numPr>
          <w:ilvl w:val="0"/>
          <w:numId w:val="10"/>
        </w:numPr>
        <w:ind w:left="0" w:leftChars="0" w:firstLine="480" w:firstLineChars="200"/>
        <w:rPr>
          <w:rFonts w:hint="default" w:ascii="宋体" w:hAnsi="宋体" w:eastAsia="宋体" w:cstheme="minorBidi"/>
          <w:color w:val="333333"/>
          <w:sz w:val="24"/>
          <w:szCs w:val="22"/>
          <w:lang w:val="en-US" w:eastAsia="zh-CN" w:bidi="ar-SA"/>
        </w:rPr>
      </w:pPr>
      <w:r>
        <w:rPr>
          <w:rFonts w:hint="default" w:ascii="宋体" w:hAnsi="宋体" w:eastAsia="宋体" w:cstheme="minorBidi"/>
          <w:color w:val="333333"/>
          <w:sz w:val="24"/>
          <w:szCs w:val="22"/>
          <w:lang w:val="en-US" w:eastAsia="zh-CN" w:bidi="ar-SA"/>
        </w:rPr>
        <w:t xml:space="preserve">培训：培训对象包括系统管理员和使用人员，系统管理人员培训内容为系统中涉及的相关技术内容；管理人员培训内容为系统流程和相关管理思想； </w:t>
      </w:r>
    </w:p>
    <w:p w14:paraId="6B928EB3">
      <w:pPr>
        <w:numPr>
          <w:ilvl w:val="0"/>
          <w:numId w:val="10"/>
        </w:numPr>
        <w:ind w:left="0" w:leftChars="0" w:firstLine="480" w:firstLineChars="200"/>
        <w:rPr>
          <w:rFonts w:hint="default" w:ascii="宋体" w:hAnsi="宋体" w:eastAsia="宋体" w:cstheme="minorBidi"/>
          <w:color w:val="333333"/>
          <w:sz w:val="24"/>
          <w:szCs w:val="22"/>
          <w:lang w:val="en-US" w:eastAsia="zh-CN" w:bidi="ar-SA"/>
        </w:rPr>
      </w:pPr>
      <w:r>
        <w:rPr>
          <w:rFonts w:hint="default" w:ascii="宋体" w:hAnsi="宋体" w:eastAsia="宋体" w:cstheme="minorBidi"/>
          <w:color w:val="333333"/>
          <w:sz w:val="24"/>
          <w:szCs w:val="22"/>
          <w:lang w:val="en-US" w:eastAsia="zh-CN" w:bidi="ar-SA"/>
        </w:rPr>
        <w:t>根据医院的情况制定相关培训方案，课程设置等。包括培训资料、讲义等。</w:t>
      </w:r>
    </w:p>
    <w:p w14:paraId="55D884A2">
      <w:pPr>
        <w:numPr>
          <w:ilvl w:val="0"/>
          <w:numId w:val="0"/>
        </w:numPr>
        <w:rPr>
          <w:rFonts w:hint="eastAsia" w:ascii="宋体" w:hAnsi="宋体" w:eastAsia="宋体" w:cstheme="minorBidi"/>
          <w:color w:val="333333"/>
          <w:sz w:val="24"/>
          <w:szCs w:val="22"/>
          <w:lang w:val="en-US" w:eastAsia="zh-CN" w:bidi="ar-SA"/>
        </w:rPr>
      </w:pPr>
      <w:r>
        <w:rPr>
          <w:rFonts w:hint="eastAsia" w:ascii="宋体" w:hAnsi="宋体" w:eastAsia="宋体" w:cstheme="minorBidi"/>
          <w:color w:val="333333"/>
          <w:sz w:val="24"/>
          <w:szCs w:val="22"/>
          <w:lang w:val="en-US" w:eastAsia="zh-CN" w:bidi="ar-SA"/>
        </w:rPr>
        <w:t>3、报价要求：本项目投标报价以人民币为计价和结算单位，报价已包含完成本项目所需的一切相关费用，包括但不限于软件开发、系统集成、实施部署、调试对接、人员服务、培训、质保、税费等全部费用；不含院内第三方信息系统所产生的商务、采购及接口授权等相关费用。</w:t>
      </w:r>
    </w:p>
    <w:p w14:paraId="07A2EF32">
      <w:pPr>
        <w:numPr>
          <w:ilvl w:val="0"/>
          <w:numId w:val="0"/>
        </w:numPr>
        <w:ind w:leftChars="0"/>
        <w:rPr>
          <w:rFonts w:hint="eastAsia" w:ascii="宋体" w:hAnsi="宋体" w:eastAsia="宋体" w:cstheme="minorBidi"/>
          <w:color w:val="333333"/>
          <w:sz w:val="24"/>
          <w:szCs w:val="22"/>
          <w:lang w:val="en-US" w:eastAsia="zh-CN" w:bidi="ar-SA"/>
        </w:rPr>
      </w:pPr>
      <w:r>
        <w:rPr>
          <w:rFonts w:hint="eastAsia" w:ascii="宋体" w:hAnsi="宋体" w:eastAsia="宋体" w:cstheme="minorBidi"/>
          <w:color w:val="333333"/>
          <w:sz w:val="24"/>
          <w:szCs w:val="22"/>
          <w:lang w:val="en-US" w:eastAsia="zh-CN" w:bidi="ar-SA"/>
        </w:rPr>
        <w:t>4、验收方式：安装上线运行后30个工作日内，采购方组织人员和中标方人员一起安排场地和设备，按照合同履约条款进行验收工作，双方签署验收报告。</w:t>
      </w:r>
    </w:p>
    <w:p w14:paraId="34C75B09">
      <w:pPr>
        <w:numPr>
          <w:ilvl w:val="0"/>
          <w:numId w:val="0"/>
        </w:numPr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三、其他要求</w:t>
      </w:r>
    </w:p>
    <w:p w14:paraId="49D6A2BD">
      <w:pPr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t>1、供应商提供产品应满足采购人要求标准，包括但不限于如下标准：</w:t>
      </w:r>
    </w:p>
    <w:p w14:paraId="2E7A1049">
      <w:pPr>
        <w:ind w:firstLine="480"/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t>1.1《电子病历系统功能应用水平分级评价方法及标准》六级以上；</w:t>
      </w:r>
    </w:p>
    <w:p w14:paraId="5C4D3970">
      <w:pPr>
        <w:ind w:firstLine="480"/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t>1.2《医院信息互联互通标准化成熟度测评方案》四级甲等以上；</w:t>
      </w:r>
    </w:p>
    <w:p w14:paraId="0A4AA29F">
      <w:pPr>
        <w:ind w:firstLine="480"/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t>1.3《医院智慧服务分级评估标准体系》三级以上；</w:t>
      </w:r>
    </w:p>
    <w:p w14:paraId="7A65A0EA">
      <w:pPr>
        <w:ind w:firstLine="480"/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t>1.4《医院智慧管理分级评估标准体系》三级以上；</w:t>
      </w:r>
    </w:p>
    <w:p w14:paraId="4567C051">
      <w:pPr>
        <w:ind w:firstLine="480"/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t>1.5《信息安全技术网络安全等级保护基本要求》三级；</w:t>
      </w:r>
    </w:p>
    <w:p w14:paraId="6653FBB8">
      <w:pPr>
        <w:ind w:firstLine="480"/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t>1.6《医院信息系统基本功能规范》；</w:t>
      </w:r>
    </w:p>
    <w:p w14:paraId="73769282">
      <w:pPr>
        <w:ind w:firstLine="480"/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t>1.7《中医医院信息系统基本功能规范》；</w:t>
      </w:r>
    </w:p>
    <w:p w14:paraId="658E5DC5">
      <w:pPr>
        <w:ind w:firstLine="480"/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t>1.8《全国医院信息化建设标准与规范》；</w:t>
      </w:r>
    </w:p>
    <w:p w14:paraId="46A84364">
      <w:pPr>
        <w:ind w:firstLine="480"/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t>1.9《卫生系统电子认证服务规范》；</w:t>
      </w:r>
    </w:p>
    <w:p w14:paraId="0B777D66">
      <w:pPr>
        <w:ind w:firstLine="480"/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t>1.10《三级中医医院评审标准》；</w:t>
      </w:r>
    </w:p>
    <w:p w14:paraId="4AFED1A9">
      <w:pPr>
        <w:ind w:firstLine="480"/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t>1.11《信息安全技术个人信息安全规范》；</w:t>
      </w:r>
    </w:p>
    <w:p w14:paraId="5CDC045A">
      <w:pPr>
        <w:ind w:firstLine="480"/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t>1.12《个人信息保护法》；</w:t>
      </w:r>
    </w:p>
    <w:p w14:paraId="1D9EA613">
      <w:pPr>
        <w:ind w:firstLine="480"/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t>1.13《数据安全法》；</w:t>
      </w:r>
    </w:p>
    <w:p w14:paraId="0DC88EAA">
      <w:pPr>
        <w:ind w:firstLine="480"/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t>1.14《信息安全技术网络安全等级保护基本要求》；</w:t>
      </w:r>
    </w:p>
    <w:p w14:paraId="618681CD">
      <w:pPr>
        <w:ind w:firstLine="480"/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t>1.15《信息安全技术个人信息去标识化指南》；</w:t>
      </w:r>
    </w:p>
    <w:p w14:paraId="650D6DF9">
      <w:pPr>
        <w:ind w:firstLine="480"/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t>1.16《信息安全技术健康医疗数据安全指南》；</w:t>
      </w:r>
    </w:p>
    <w:p w14:paraId="59334691">
      <w:pPr>
        <w:ind w:firstLine="480"/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t>1.17《互联网诊疗管理办法（试行）》；</w:t>
      </w:r>
    </w:p>
    <w:p w14:paraId="1983CC7A">
      <w:pPr>
        <w:ind w:firstLine="480"/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t>1.18《互联网医院管理办法（试行）》；</w:t>
      </w:r>
    </w:p>
    <w:p w14:paraId="0FD50C05">
      <w:pPr>
        <w:ind w:firstLine="480"/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t>1.19《远程医疗服务管理规范（试行）》；</w:t>
      </w:r>
    </w:p>
    <w:p w14:paraId="42015434">
      <w:pPr>
        <w:ind w:firstLine="480"/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t>1.20《互联网诊疗监管细则（试行）》；</w:t>
      </w:r>
    </w:p>
    <w:p w14:paraId="56DDA836">
      <w:pPr>
        <w:ind w:firstLine="480"/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t>1.21《广东省公共数据脱敏规范》；</w:t>
      </w:r>
    </w:p>
    <w:p w14:paraId="2408169A">
      <w:pPr>
        <w:ind w:firstLine="480"/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t>1.22所有系统能够按照相关标准（和/或甲方要求）由供应商免费接入医院信息集成平台。</w:t>
      </w:r>
    </w:p>
    <w:p w14:paraId="569441FE">
      <w:pPr>
        <w:numPr>
          <w:ilvl w:val="0"/>
          <w:numId w:val="0"/>
        </w:numPr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cs="宋体"/>
          <w:highlight w:val="none"/>
          <w:lang w:val="en-US" w:eastAsia="zh-CN"/>
        </w:rPr>
        <w:t>2、</w:t>
      </w:r>
      <w:r>
        <w:rPr>
          <w:rFonts w:hint="eastAsia" w:ascii="宋体" w:hAnsi="宋体" w:eastAsia="宋体" w:cs="宋体"/>
          <w:highlight w:val="none"/>
          <w:lang w:val="en-US" w:eastAsia="zh-CN"/>
        </w:rPr>
        <w:t>本项目以电子病历系统功能应用水平分级评价方法及标准（六级）、医院信息互联互通标准化成熟度测评（四甲）、医院智慧服务分级评估标准（三级）、医院智慧管理分级评估标准（三级）、信息安全技术网络安全等级保护基本要求（三级）为目标，供应商需无条件配合采购人智慧医院信息化建设。</w:t>
      </w:r>
    </w:p>
    <w:p w14:paraId="272D1A2C">
      <w:pPr>
        <w:numPr>
          <w:ilvl w:val="0"/>
          <w:numId w:val="0"/>
        </w:numPr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cs="宋体"/>
          <w:highlight w:val="none"/>
          <w:lang w:val="en-US" w:eastAsia="zh-CN"/>
        </w:rPr>
        <w:t>3、</w:t>
      </w:r>
      <w:r>
        <w:rPr>
          <w:rFonts w:hint="eastAsia" w:ascii="宋体" w:hAnsi="宋体" w:eastAsia="宋体" w:cs="宋体"/>
          <w:highlight w:val="none"/>
          <w:lang w:val="en-US" w:eastAsia="zh-CN"/>
        </w:rPr>
        <w:t>项目付款要求：</w:t>
      </w:r>
    </w:p>
    <w:p w14:paraId="34AA62C2">
      <w:pPr>
        <w:numPr>
          <w:ilvl w:val="0"/>
          <w:numId w:val="0"/>
        </w:numPr>
        <w:ind w:firstLine="480" w:firstLineChars="200"/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t>第1期：支付比例30%，系统正式上线并稳定运行满一个月，经双方签字确认《系统上线报告》，采购人收到中标人等额有效发票后，60日内支付项目合同总额的</w:t>
      </w:r>
      <w:r>
        <w:rPr>
          <w:rFonts w:hint="eastAsia" w:cs="宋体"/>
          <w:highlight w:val="none"/>
          <w:lang w:val="en-US" w:eastAsia="zh-CN"/>
        </w:rPr>
        <w:t>30</w:t>
      </w:r>
      <w:r>
        <w:rPr>
          <w:rFonts w:hint="eastAsia" w:ascii="宋体" w:hAnsi="宋体" w:eastAsia="宋体" w:cs="宋体"/>
          <w:highlight w:val="none"/>
          <w:lang w:val="en-US" w:eastAsia="zh-CN"/>
        </w:rPr>
        <w:t>%。</w:t>
      </w:r>
    </w:p>
    <w:p w14:paraId="181D4DAF">
      <w:pPr>
        <w:numPr>
          <w:ilvl w:val="0"/>
          <w:numId w:val="0"/>
        </w:numPr>
        <w:ind w:firstLine="480" w:firstLineChars="200"/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t>第2期：支付比例70%，根据项目验收要求完成验收后，经双方签字确认《系统验收报告》，采购人收到中标人等额有效发票后，30日内支付项目合同总额的70%。</w:t>
      </w:r>
    </w:p>
    <w:p w14:paraId="39F3E23A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328B3D1A">
      <w:pPr>
        <w:ind w:firstLine="480"/>
        <w:rPr>
          <w:rFonts w:hint="eastAsia"/>
          <w:lang w:eastAsia="zh-CN"/>
        </w:rPr>
      </w:pPr>
    </w:p>
    <w:sectPr>
      <w:pgSz w:w="11906" w:h="16838"/>
      <w:pgMar w:top="1440" w:right="1803" w:bottom="1440" w:left="1803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98C504"/>
    <w:multiLevelType w:val="singleLevel"/>
    <w:tmpl w:val="9698C504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E7AB3844"/>
    <w:multiLevelType w:val="singleLevel"/>
    <w:tmpl w:val="E7AB3844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4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5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6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7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8">
    <w:nsid w:val="05EA4F09"/>
    <w:multiLevelType w:val="singleLevel"/>
    <w:tmpl w:val="05EA4F09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9">
    <w:nsid w:val="49534373"/>
    <w:multiLevelType w:val="singleLevel"/>
    <w:tmpl w:val="49534373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4"/>
  </w:num>
  <w:num w:numId="5">
    <w:abstractNumId w:val="2"/>
  </w:num>
  <w:num w:numId="6">
    <w:abstractNumId w:val="5"/>
  </w:num>
  <w:num w:numId="7">
    <w:abstractNumId w:val="0"/>
  </w:num>
  <w:num w:numId="8">
    <w:abstractNumId w:val="1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7282B"/>
    <w:rsid w:val="000A0417"/>
    <w:rsid w:val="000A20E6"/>
    <w:rsid w:val="000B77C6"/>
    <w:rsid w:val="00143B63"/>
    <w:rsid w:val="001503D5"/>
    <w:rsid w:val="0015074B"/>
    <w:rsid w:val="00162945"/>
    <w:rsid w:val="00162F0D"/>
    <w:rsid w:val="00197AEA"/>
    <w:rsid w:val="001A688B"/>
    <w:rsid w:val="001D3756"/>
    <w:rsid w:val="001E01FA"/>
    <w:rsid w:val="00212FDB"/>
    <w:rsid w:val="0029618A"/>
    <w:rsid w:val="0029639D"/>
    <w:rsid w:val="002B25B1"/>
    <w:rsid w:val="00326F90"/>
    <w:rsid w:val="003521F1"/>
    <w:rsid w:val="003650B2"/>
    <w:rsid w:val="003867C8"/>
    <w:rsid w:val="003B1285"/>
    <w:rsid w:val="004427DC"/>
    <w:rsid w:val="004933BC"/>
    <w:rsid w:val="004A3C67"/>
    <w:rsid w:val="004B1DC1"/>
    <w:rsid w:val="004C39A9"/>
    <w:rsid w:val="00576293"/>
    <w:rsid w:val="005803D1"/>
    <w:rsid w:val="005E5FBA"/>
    <w:rsid w:val="00676BED"/>
    <w:rsid w:val="00755398"/>
    <w:rsid w:val="00793096"/>
    <w:rsid w:val="007A722D"/>
    <w:rsid w:val="008B422D"/>
    <w:rsid w:val="008F2D25"/>
    <w:rsid w:val="008F3467"/>
    <w:rsid w:val="00956ED2"/>
    <w:rsid w:val="009B6F3F"/>
    <w:rsid w:val="009B7C53"/>
    <w:rsid w:val="009E1E0C"/>
    <w:rsid w:val="009E7B43"/>
    <w:rsid w:val="00A31682"/>
    <w:rsid w:val="00A32891"/>
    <w:rsid w:val="00A52B66"/>
    <w:rsid w:val="00A671C5"/>
    <w:rsid w:val="00AA0260"/>
    <w:rsid w:val="00AA1D8D"/>
    <w:rsid w:val="00AC2909"/>
    <w:rsid w:val="00B17544"/>
    <w:rsid w:val="00B36BE7"/>
    <w:rsid w:val="00B47730"/>
    <w:rsid w:val="00B6669A"/>
    <w:rsid w:val="00BE58C7"/>
    <w:rsid w:val="00C23AEA"/>
    <w:rsid w:val="00C273C0"/>
    <w:rsid w:val="00CA25EC"/>
    <w:rsid w:val="00CB0664"/>
    <w:rsid w:val="00D02EC1"/>
    <w:rsid w:val="00D207EB"/>
    <w:rsid w:val="00D51794"/>
    <w:rsid w:val="00D555DC"/>
    <w:rsid w:val="00DB7C21"/>
    <w:rsid w:val="00DC1497"/>
    <w:rsid w:val="00DD151F"/>
    <w:rsid w:val="00DE0A82"/>
    <w:rsid w:val="00E15C7F"/>
    <w:rsid w:val="00E201C1"/>
    <w:rsid w:val="00ED5176"/>
    <w:rsid w:val="00EF0795"/>
    <w:rsid w:val="00F13A4C"/>
    <w:rsid w:val="00F53ECF"/>
    <w:rsid w:val="00F662BA"/>
    <w:rsid w:val="00F76DD4"/>
    <w:rsid w:val="00F81574"/>
    <w:rsid w:val="00FA02FE"/>
    <w:rsid w:val="00FC693F"/>
    <w:rsid w:val="1F104613"/>
    <w:rsid w:val="24975A26"/>
    <w:rsid w:val="25001CF4"/>
    <w:rsid w:val="2A5C1303"/>
    <w:rsid w:val="34E21507"/>
    <w:rsid w:val="5BCE4BE5"/>
    <w:rsid w:val="7AFC4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360" w:lineRule="auto"/>
    </w:pPr>
    <w:rPr>
      <w:rFonts w:ascii="宋体" w:hAnsi="宋体" w:eastAsia="宋体" w:cstheme="minorBidi"/>
      <w:color w:val="333333"/>
      <w:sz w:val="24"/>
      <w:szCs w:val="22"/>
      <w:lang w:val="en-US" w:eastAsia="en-US" w:bidi="ar-SA"/>
    </w:rPr>
  </w:style>
  <w:style w:type="paragraph" w:styleId="3">
    <w:name w:val="heading 1"/>
    <w:basedOn w:val="1"/>
    <w:next w:val="1"/>
    <w:link w:val="142"/>
    <w:qFormat/>
    <w:uiPriority w:val="9"/>
    <w:pPr>
      <w:keepNext/>
      <w:keepLines/>
      <w:spacing w:before="360" w:after="200"/>
      <w:outlineLvl w:val="0"/>
    </w:pPr>
    <w:rPr>
      <w:rFonts w:asciiTheme="majorHAnsi" w:hAnsiTheme="majorHAnsi" w:eastAsiaTheme="majorEastAsia" w:cstheme="majorBidi"/>
      <w:b/>
      <w:bCs/>
      <w:color w:val="1A5276"/>
      <w:sz w:val="32"/>
      <w:szCs w:val="28"/>
    </w:rPr>
  </w:style>
  <w:style w:type="paragraph" w:styleId="4">
    <w:name w:val="heading 2"/>
    <w:basedOn w:val="1"/>
    <w:next w:val="1"/>
    <w:link w:val="143"/>
    <w:unhideWhenUsed/>
    <w:qFormat/>
    <w:uiPriority w:val="9"/>
    <w:pPr>
      <w:keepNext/>
      <w:keepLines/>
      <w:spacing w:before="280" w:after="160"/>
      <w:outlineLvl w:val="1"/>
    </w:pPr>
    <w:rPr>
      <w:rFonts w:asciiTheme="majorHAnsi" w:hAnsiTheme="majorHAnsi" w:eastAsiaTheme="majorEastAsia" w:cstheme="majorBidi"/>
      <w:b/>
      <w:bCs/>
      <w:color w:val="2471A3"/>
      <w:sz w:val="28"/>
      <w:szCs w:val="26"/>
    </w:rPr>
  </w:style>
  <w:style w:type="paragraph" w:styleId="5">
    <w:name w:val="heading 3"/>
    <w:basedOn w:val="1"/>
    <w:next w:val="1"/>
    <w:link w:val="144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2E86C1"/>
    </w:rPr>
  </w:style>
  <w:style w:type="paragraph" w:styleId="6">
    <w:name w:val="heading 4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7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8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9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5">
    <w:name w:val="Default Paragraph Font"/>
    <w:semiHidden/>
    <w:unhideWhenUsed/>
    <w:qFormat/>
    <w:uiPriority w:val="1"/>
  </w:style>
  <w:style w:type="table" w:default="1" w:styleId="3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51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50"/>
    <w:unhideWhenUsed/>
    <w:qFormat/>
    <w:uiPriority w:val="99"/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8"/>
    <w:unhideWhenUsed/>
    <w:qFormat/>
    <w:uiPriority w:val="99"/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toc 3"/>
    <w:basedOn w:val="1"/>
    <w:next w:val="1"/>
    <w:autoRedefine/>
    <w:unhideWhenUsed/>
    <w:qFormat/>
    <w:uiPriority w:val="39"/>
    <w:pPr>
      <w:ind w:left="840" w:leftChars="400"/>
    </w:pPr>
  </w:style>
  <w:style w:type="paragraph" w:styleId="25">
    <w:name w:val="footer"/>
    <w:basedOn w:val="1"/>
    <w:link w:val="140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header"/>
    <w:basedOn w:val="1"/>
    <w:link w:val="13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7">
    <w:name w:val="toc 1"/>
    <w:basedOn w:val="1"/>
    <w:next w:val="1"/>
    <w:autoRedefine/>
    <w:unhideWhenUsed/>
    <w:qFormat/>
    <w:uiPriority w:val="39"/>
  </w:style>
  <w:style w:type="paragraph" w:styleId="28">
    <w:name w:val="Subtitle"/>
    <w:basedOn w:val="1"/>
    <w:next w:val="1"/>
    <w:link w:val="14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Cs w:val="24"/>
      <w14:textFill>
        <w14:solidFill>
          <w14:schemeClr w14:val="accent1"/>
        </w14:solidFill>
      </w14:textFill>
    </w:rPr>
  </w:style>
  <w:style w:type="paragraph" w:styleId="29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30">
    <w:name w:val="toc 2"/>
    <w:basedOn w:val="1"/>
    <w:next w:val="1"/>
    <w:autoRedefine/>
    <w:unhideWhenUsed/>
    <w:qFormat/>
    <w:uiPriority w:val="39"/>
    <w:pPr>
      <w:ind w:left="420" w:leftChars="200"/>
    </w:pPr>
  </w:style>
  <w:style w:type="paragraph" w:styleId="31">
    <w:name w:val="Body Text 2"/>
    <w:basedOn w:val="1"/>
    <w:link w:val="149"/>
    <w:unhideWhenUsed/>
    <w:qFormat/>
    <w:uiPriority w:val="99"/>
    <w:pPr>
      <w:spacing w:line="480" w:lineRule="auto"/>
    </w:pPr>
  </w:style>
  <w:style w:type="paragraph" w:styleId="32">
    <w:name w:val="List Continue 2"/>
    <w:basedOn w:val="1"/>
    <w:unhideWhenUsed/>
    <w:qFormat/>
    <w:uiPriority w:val="99"/>
    <w:pPr>
      <w:ind w:left="720"/>
      <w:contextualSpacing/>
    </w:pPr>
  </w:style>
  <w:style w:type="paragraph" w:styleId="33">
    <w:name w:val="List Continue 3"/>
    <w:basedOn w:val="1"/>
    <w:unhideWhenUsed/>
    <w:qFormat/>
    <w:uiPriority w:val="99"/>
    <w:pPr>
      <w:ind w:left="1080"/>
      <w:contextualSpacing/>
    </w:pPr>
  </w:style>
  <w:style w:type="paragraph" w:styleId="34">
    <w:name w:val="Title"/>
    <w:basedOn w:val="1"/>
    <w:next w:val="1"/>
    <w:link w:val="145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6">
    <w:name w:val="Table Grid"/>
    <w:basedOn w:val="3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37">
    <w:name w:val="Light Shading"/>
    <w:basedOn w:val="35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35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35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35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35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35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35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35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35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35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35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35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35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35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35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35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35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35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35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35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35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35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35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35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35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35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35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35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35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35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35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35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35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35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35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35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3">
    <w:name w:val="Medium List 1 Accent 1"/>
    <w:basedOn w:val="35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35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35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35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35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35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9">
    <w:name w:val="Medium List 2"/>
    <w:basedOn w:val="35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1"/>
    <w:basedOn w:val="35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2"/>
    <w:basedOn w:val="35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3"/>
    <w:basedOn w:val="35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4"/>
    <w:basedOn w:val="35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5"/>
    <w:basedOn w:val="35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6"/>
    <w:basedOn w:val="35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Grid 1"/>
    <w:basedOn w:val="35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7">
    <w:name w:val="Medium Grid 1 Accent 1"/>
    <w:basedOn w:val="35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35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35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35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35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35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3">
    <w:name w:val="Medium Grid 2"/>
    <w:basedOn w:val="35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1"/>
    <w:basedOn w:val="35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2"/>
    <w:basedOn w:val="35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3"/>
    <w:basedOn w:val="35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4"/>
    <w:basedOn w:val="35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5"/>
    <w:basedOn w:val="35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6"/>
    <w:basedOn w:val="35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35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35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35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35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35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35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35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35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35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35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35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35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35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35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35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35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35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35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35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35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35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35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2">
    <w:name w:val="Colorful List Accent 1"/>
    <w:basedOn w:val="35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35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35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35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35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35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8">
    <w:name w:val="Colorful Grid"/>
    <w:basedOn w:val="35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9">
    <w:name w:val="Colorful Grid Accent 1"/>
    <w:basedOn w:val="35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35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35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35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35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35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6">
    <w:name w:val="Strong"/>
    <w:basedOn w:val="135"/>
    <w:qFormat/>
    <w:uiPriority w:val="22"/>
    <w:rPr>
      <w:b/>
      <w:bCs/>
    </w:rPr>
  </w:style>
  <w:style w:type="character" w:styleId="137">
    <w:name w:val="Emphasis"/>
    <w:basedOn w:val="135"/>
    <w:qFormat/>
    <w:uiPriority w:val="20"/>
    <w:rPr>
      <w:i/>
      <w:iCs/>
    </w:rPr>
  </w:style>
  <w:style w:type="character" w:styleId="138">
    <w:name w:val="Hyperlink"/>
    <w:basedOn w:val="13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39">
    <w:name w:val="页眉 字符"/>
    <w:basedOn w:val="135"/>
    <w:link w:val="26"/>
    <w:qFormat/>
    <w:uiPriority w:val="99"/>
  </w:style>
  <w:style w:type="character" w:customStyle="1" w:styleId="140">
    <w:name w:val="页脚 字符"/>
    <w:basedOn w:val="135"/>
    <w:link w:val="25"/>
    <w:qFormat/>
    <w:uiPriority w:val="99"/>
  </w:style>
  <w:style w:type="paragraph" w:styleId="141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42">
    <w:name w:val="标题 1 字符"/>
    <w:basedOn w:val="135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3">
    <w:name w:val="标题 2 字符"/>
    <w:basedOn w:val="135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4">
    <w:name w:val="标题 3 字符"/>
    <w:basedOn w:val="135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5">
    <w:name w:val="标题 字符"/>
    <w:basedOn w:val="135"/>
    <w:link w:val="34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6">
    <w:name w:val="副标题 字符"/>
    <w:basedOn w:val="135"/>
    <w:link w:val="28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7">
    <w:name w:val="List Paragraph"/>
    <w:basedOn w:val="1"/>
    <w:qFormat/>
    <w:uiPriority w:val="34"/>
    <w:pPr>
      <w:ind w:left="720"/>
      <w:contextualSpacing/>
    </w:pPr>
  </w:style>
  <w:style w:type="character" w:customStyle="1" w:styleId="148">
    <w:name w:val="正文文本 字符"/>
    <w:basedOn w:val="135"/>
    <w:link w:val="19"/>
    <w:qFormat/>
    <w:uiPriority w:val="99"/>
  </w:style>
  <w:style w:type="character" w:customStyle="1" w:styleId="149">
    <w:name w:val="正文文本 2 字符"/>
    <w:basedOn w:val="135"/>
    <w:link w:val="31"/>
    <w:qFormat/>
    <w:uiPriority w:val="99"/>
  </w:style>
  <w:style w:type="character" w:customStyle="1" w:styleId="150">
    <w:name w:val="正文文本 3 字符"/>
    <w:basedOn w:val="135"/>
    <w:link w:val="17"/>
    <w:qFormat/>
    <w:uiPriority w:val="99"/>
    <w:rPr>
      <w:sz w:val="16"/>
      <w:szCs w:val="16"/>
    </w:rPr>
  </w:style>
  <w:style w:type="character" w:customStyle="1" w:styleId="151">
    <w:name w:val="宏文本 字符"/>
    <w:basedOn w:val="135"/>
    <w:link w:val="2"/>
    <w:qFormat/>
    <w:uiPriority w:val="99"/>
    <w:rPr>
      <w:rFonts w:ascii="Courier" w:hAnsi="Courier"/>
      <w:sz w:val="20"/>
      <w:szCs w:val="20"/>
    </w:rPr>
  </w:style>
  <w:style w:type="paragraph" w:styleId="152">
    <w:name w:val="Quote"/>
    <w:basedOn w:val="1"/>
    <w:next w:val="1"/>
    <w:link w:val="153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3">
    <w:name w:val="引用 字符"/>
    <w:basedOn w:val="135"/>
    <w:link w:val="152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4">
    <w:name w:val="标题 4 字符"/>
    <w:basedOn w:val="135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5">
    <w:name w:val="标题 5 字符"/>
    <w:basedOn w:val="135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6">
    <w:name w:val="标题 6 字符"/>
    <w:basedOn w:val="135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7">
    <w:name w:val="标题 7 字符"/>
    <w:basedOn w:val="135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8">
    <w:name w:val="标题 8 字符"/>
    <w:basedOn w:val="135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9">
    <w:name w:val="标题 9 字符"/>
    <w:basedOn w:val="135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60">
    <w:name w:val="Intense Quote"/>
    <w:basedOn w:val="1"/>
    <w:next w:val="1"/>
    <w:link w:val="161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明显引用 字符"/>
    <w:basedOn w:val="135"/>
    <w:link w:val="160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2">
    <w:name w:val="Subtle Emphasis"/>
    <w:basedOn w:val="135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3">
    <w:name w:val="Intense Emphasis"/>
    <w:basedOn w:val="135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4">
    <w:name w:val="Subtle Reference"/>
    <w:basedOn w:val="135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5">
    <w:name w:val="Intense Reference"/>
    <w:basedOn w:val="135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6">
    <w:name w:val="Book Title"/>
    <w:basedOn w:val="135"/>
    <w:qFormat/>
    <w:uiPriority w:val="33"/>
    <w:rPr>
      <w:b/>
      <w:bCs/>
      <w:smallCaps/>
      <w:spacing w:val="5"/>
    </w:rPr>
  </w:style>
  <w:style w:type="paragraph" w:customStyle="1" w:styleId="167">
    <w:name w:val="TOC Heading"/>
    <w:basedOn w:val="3"/>
    <w:next w:val="1"/>
    <w:unhideWhenUsed/>
    <w:qFormat/>
    <w:uiPriority w:val="39"/>
    <w:pPr>
      <w:outlineLvl w:val="9"/>
    </w:pPr>
  </w:style>
  <w:style w:type="paragraph" w:customStyle="1" w:styleId="168">
    <w:name w:val="列出段落1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2DF4E47-1CC5-4944-8BF4-A323A88913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2612</Words>
  <Characters>2734</Characters>
  <Lines>123</Lines>
  <Paragraphs>34</Paragraphs>
  <TotalTime>11</TotalTime>
  <ScaleCrop>false</ScaleCrop>
  <LinksUpToDate>false</LinksUpToDate>
  <CharactersWithSpaces>2748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Administrator</cp:lastModifiedBy>
  <dcterms:modified xsi:type="dcterms:W3CDTF">2026-08-14T08:09:01Z</dcterms:modified>
  <cp:revision>96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eyJoZGlkIjoiYzBjOGFkYjBlNWU0ODdkMWE4MTZmMjkyOWFjYjgwYjQiLCJ1c2VySWQiOiI0MDQ3MjE1NzYifQ==</vt:lpwstr>
  </property>
  <property fmtid="{D5CDD505-2E9C-101B-9397-08002B2CF9AE}" pid="3" name="KSOProductBuildVer">
    <vt:lpwstr>2052-12.1.0.28043</vt:lpwstr>
  </property>
  <property fmtid="{D5CDD505-2E9C-101B-9397-08002B2CF9AE}" pid="4" name="ICV">
    <vt:lpwstr>91E183CE6C8E4AD1A4F2BCD9443C060E_13</vt:lpwstr>
  </property>
</Properties>
</file>