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5232F7">
      <w:pPr>
        <w:jc w:val="center"/>
        <w:rPr>
          <w:rFonts w:hint="eastAsia"/>
          <w:b/>
          <w:color w:val="1A5276"/>
          <w:sz w:val="36"/>
          <w:szCs w:val="36"/>
          <w:lang w:eastAsia="zh-CN"/>
        </w:rPr>
      </w:pPr>
      <w:r>
        <w:rPr>
          <w:rFonts w:hint="eastAsia"/>
          <w:b/>
          <w:color w:val="1A5276"/>
          <w:sz w:val="36"/>
          <w:szCs w:val="36"/>
          <w:lang w:eastAsia="zh-CN"/>
        </w:rPr>
        <w:t>中药全链条可信溯源体系及智能化仓库管理平台</w:t>
      </w:r>
    </w:p>
    <w:p w14:paraId="6FF75A34">
      <w:pPr>
        <w:jc w:val="center"/>
        <w:rPr>
          <w:rFonts w:hint="default"/>
          <w:b/>
          <w:color w:val="1A5276"/>
          <w:sz w:val="36"/>
          <w:szCs w:val="36"/>
          <w:lang w:val="en-US" w:eastAsia="zh-CN"/>
        </w:rPr>
      </w:pPr>
      <w:r>
        <w:rPr>
          <w:rFonts w:hint="eastAsia"/>
          <w:b/>
          <w:color w:val="1A5276"/>
          <w:sz w:val="36"/>
          <w:szCs w:val="36"/>
          <w:lang w:val="en-US" w:eastAsia="zh-CN"/>
        </w:rPr>
        <w:t>项目需求</w:t>
      </w:r>
    </w:p>
    <w:p w14:paraId="1837F325">
      <w:pPr>
        <w:jc w:val="both"/>
        <w:rPr>
          <w:rFonts w:hint="eastAsia" w:ascii="宋体" w:hAnsi="宋体" w:eastAsia="宋体"/>
          <w:b/>
          <w:bCs/>
          <w:color w:val="auto"/>
          <w:sz w:val="36"/>
          <w:szCs w:val="36"/>
        </w:rPr>
      </w:pPr>
      <w:r>
        <w:rPr>
          <w:rFonts w:hint="eastAsia"/>
          <w:b/>
          <w:color w:val="1A5276"/>
          <w:sz w:val="32"/>
          <w:szCs w:val="32"/>
          <w:lang w:val="en-US" w:eastAsia="zh-CN"/>
        </w:rPr>
        <w:t>预算：25万元</w:t>
      </w:r>
    </w:p>
    <w:p w14:paraId="7D6FF759">
      <w:pPr>
        <w:pStyle w:val="2"/>
        <w:spacing w:line="360" w:lineRule="auto"/>
        <w:rPr>
          <w:rFonts w:hint="eastAsia" w:ascii="宋体" w:hAnsi="宋体" w:eastAsia="宋体"/>
          <w:b/>
          <w:bCs/>
          <w:color w:val="auto"/>
          <w:sz w:val="36"/>
          <w:szCs w:val="36"/>
        </w:rPr>
      </w:pPr>
      <w:r>
        <w:rPr>
          <w:rFonts w:hint="eastAsia" w:ascii="宋体" w:hAnsi="宋体" w:eastAsia="宋体"/>
          <w:b/>
          <w:bCs/>
          <w:color w:val="auto"/>
          <w:sz w:val="36"/>
          <w:szCs w:val="36"/>
        </w:rPr>
        <w:t>一、项目背景</w:t>
      </w:r>
    </w:p>
    <w:p w14:paraId="698A9033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为贯彻落实国家中医药发展战略，推动医疗服务数字化转型，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医</w:t>
      </w:r>
      <w:r>
        <w:rPr>
          <w:rFonts w:hint="eastAsia" w:ascii="宋体" w:hAnsi="宋体" w:eastAsia="宋体" w:cs="Times New Roman"/>
          <w:sz w:val="24"/>
          <w:szCs w:val="24"/>
        </w:rPr>
        <w:t>院拟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开展</w:t>
      </w:r>
      <w:r>
        <w:rPr>
          <w:rFonts w:hint="eastAsia" w:ascii="宋体" w:hAnsi="宋体" w:eastAsia="宋体" w:cs="Times New Roman"/>
          <w:sz w:val="24"/>
          <w:szCs w:val="24"/>
        </w:rPr>
        <w:t>智慧中药房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建设</w:t>
      </w:r>
      <w:r>
        <w:rPr>
          <w:rFonts w:hint="eastAsia" w:ascii="宋体" w:hAnsi="宋体" w:eastAsia="宋体" w:cs="Times New Roman"/>
          <w:sz w:val="24"/>
          <w:szCs w:val="24"/>
        </w:rPr>
        <w:t>，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推动</w:t>
      </w:r>
      <w:r>
        <w:rPr>
          <w:rFonts w:hint="eastAsia" w:ascii="宋体" w:hAnsi="宋体" w:eastAsia="宋体" w:cs="Times New Roman"/>
          <w:sz w:val="24"/>
          <w:szCs w:val="24"/>
          <w:lang w:val="zh-CN" w:eastAsia="zh-CN"/>
        </w:rPr>
        <w:t>中药房业务流程数字化整合，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构建中药质量可信溯源体系和中药出入库可溯源智能管理体系</w:t>
      </w:r>
      <w:r>
        <w:rPr>
          <w:rFonts w:hint="eastAsia" w:ascii="宋体" w:hAnsi="宋体" w:eastAsia="宋体" w:cs="Times New Roman"/>
          <w:sz w:val="24"/>
          <w:szCs w:val="24"/>
        </w:rPr>
        <w:t>。</w:t>
      </w:r>
    </w:p>
    <w:p w14:paraId="24B7D8B2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本次改造旨在以“一物一码”为核心载体，深度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整</w:t>
      </w:r>
      <w:r>
        <w:rPr>
          <w:rFonts w:hint="eastAsia" w:ascii="宋体" w:hAnsi="宋体" w:eastAsia="宋体" w:cs="Times New Roman"/>
          <w:sz w:val="24"/>
          <w:szCs w:val="24"/>
        </w:rPr>
        <w:t>合HIS与互联网医院平台，对中药从种植、加工、仓储到配送的全流程进行数字化改造。通过赋予每份中药唯一追溯码，贯通院内处方流转与院外供应链信息，实现药材产地、加工批号、时效期等关键属性的全生命周期监控，从而确保用药安全、提升服务透明度。项目将构建线上线下协同、全程可追溯的智慧中药服务体系，助力医院打造中医药数字化新生态。</w:t>
      </w:r>
    </w:p>
    <w:p w14:paraId="194A7114">
      <w:pPr>
        <w:pStyle w:val="2"/>
        <w:spacing w:line="360" w:lineRule="auto"/>
        <w:rPr>
          <w:rFonts w:hint="eastAsia" w:ascii="宋体" w:hAnsi="宋体" w:eastAsia="宋体"/>
          <w:b/>
          <w:bCs/>
          <w:color w:val="auto"/>
          <w:sz w:val="36"/>
          <w:szCs w:val="36"/>
        </w:rPr>
      </w:pPr>
      <w:r>
        <w:rPr>
          <w:rFonts w:hint="eastAsia" w:ascii="宋体" w:hAnsi="宋体" w:eastAsia="宋体"/>
          <w:b/>
          <w:bCs/>
          <w:color w:val="auto"/>
          <w:sz w:val="36"/>
          <w:szCs w:val="36"/>
        </w:rPr>
        <w:t>二、总体要求</w:t>
      </w:r>
    </w:p>
    <w:p w14:paraId="67EE8B38">
      <w:pPr>
        <w:pStyle w:val="3"/>
        <w:spacing w:line="360" w:lineRule="auto"/>
        <w:rPr>
          <w:rFonts w:hint="eastAsia" w:ascii="宋体" w:hAnsi="宋体" w:eastAsia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/>
          <w:b/>
          <w:bCs/>
          <w:color w:val="auto"/>
          <w:sz w:val="32"/>
          <w:szCs w:val="32"/>
        </w:rPr>
        <w:t>2.1项目技术要求</w:t>
      </w:r>
    </w:p>
    <w:p w14:paraId="2D9E5C27">
      <w:pPr>
        <w:spacing w:line="360" w:lineRule="auto"/>
        <w:ind w:firstLine="600" w:firstLineChars="25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、软件的研发严格执行国际软件工程的标准（CMM、ISO等），符合国际医疗软件的规范（HL7、SNOMED、ICD-9/10、IHE、XML等），符合卫生部《医院信息系统基本功能规范》要求,符合卫生部《电子病历基本架构与数据标准》的要求。软件的数据字典应遵循国际和国家数据字典标准规范。软件遵从国家和地方政府的相关法规，满足医疗保险政策和医疗改革政策对医院的要求，满足医院相关建设要求。</w:t>
      </w:r>
    </w:p>
    <w:p w14:paraId="2F420EDF">
      <w:pPr>
        <w:spacing w:line="360" w:lineRule="auto"/>
        <w:ind w:firstLine="600" w:firstLineChars="25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2、软件产品成熟稳定，功能模块齐全，符合应用规范，满足业务需求。</w:t>
      </w:r>
    </w:p>
    <w:p w14:paraId="14415E86">
      <w:pPr>
        <w:spacing w:line="360" w:lineRule="auto"/>
        <w:ind w:firstLine="600" w:firstLineChars="25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、具备科学、合理、先进的软件系统架构，具有灵活性和扩展性，充分考虑当医院业务高峰期数据库访问量巨大的情况下，整个业务系统的性能，能满足未来3-5年的医院发展和信息技术发展的需要，满足医院可持续的流程优化和系统集成优化的需要。</w:t>
      </w:r>
    </w:p>
    <w:p w14:paraId="2AD40888">
      <w:pPr>
        <w:spacing w:line="360" w:lineRule="auto"/>
        <w:ind w:firstLine="600" w:firstLineChars="25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4、软件以“以病人为中心、以临床信息为主线，以提高医院经济、社会效益，提高医院科学管理水平，提高医院医疗、服务质量为基本点”为设计思想，为医院提供相关的业务处理和支持能力。</w:t>
      </w:r>
    </w:p>
    <w:p w14:paraId="235818AF">
      <w:pPr>
        <w:spacing w:line="360" w:lineRule="auto"/>
        <w:ind w:firstLine="600" w:firstLineChars="25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5、软件系统均采用模块化设计，功能齐全。</w:t>
      </w:r>
    </w:p>
    <w:p w14:paraId="05B7ABCC">
      <w:pPr>
        <w:spacing w:line="360" w:lineRule="auto"/>
        <w:ind w:firstLine="600" w:firstLineChars="25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6、软件设计满足医院相关个性化要求和本地特色。</w:t>
      </w:r>
    </w:p>
    <w:p w14:paraId="724669C1">
      <w:pPr>
        <w:spacing w:line="360" w:lineRule="auto"/>
        <w:ind w:firstLine="600" w:firstLineChars="25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7、建立严格的软件审核、测试、验收等制度，建立反应机敏的BUG追踪和系统化升级修改的软件质量管理机制。按照项目管理的国际规范，在确保质量的前提下，又好又快地按期完成。</w:t>
      </w:r>
    </w:p>
    <w:p w14:paraId="1253F73E">
      <w:pPr>
        <w:spacing w:line="360" w:lineRule="auto"/>
        <w:ind w:firstLine="600" w:firstLineChars="25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8、提供各个层次的技术培训。从项目组织管理、售后服务方面保证为本项目提供长期持续服务支持。</w:t>
      </w:r>
    </w:p>
    <w:p w14:paraId="3A40CF2E">
      <w:pPr>
        <w:spacing w:line="360" w:lineRule="auto"/>
        <w:ind w:firstLine="600" w:firstLineChars="25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9、本次项目的改造需基于现有系统的基础字典表（操作员表、职工表、项目表等），保证</w:t>
      </w:r>
      <w:r>
        <w:rPr>
          <w:rFonts w:ascii="宋体" w:hAnsi="宋体" w:eastAsia="宋体"/>
          <w:sz w:val="24"/>
          <w:szCs w:val="24"/>
        </w:rPr>
        <w:t>系统字典表</w:t>
      </w:r>
      <w:r>
        <w:rPr>
          <w:rFonts w:hint="eastAsia" w:ascii="宋体" w:hAnsi="宋体" w:eastAsia="宋体"/>
          <w:sz w:val="24"/>
          <w:szCs w:val="24"/>
        </w:rPr>
        <w:t>的</w:t>
      </w:r>
      <w:r>
        <w:rPr>
          <w:rFonts w:ascii="宋体" w:hAnsi="宋体" w:eastAsia="宋体"/>
          <w:sz w:val="24"/>
          <w:szCs w:val="24"/>
        </w:rPr>
        <w:t>一致</w:t>
      </w:r>
      <w:r>
        <w:rPr>
          <w:rFonts w:hint="eastAsia" w:ascii="宋体" w:hAnsi="宋体" w:eastAsia="宋体"/>
          <w:sz w:val="24"/>
          <w:szCs w:val="24"/>
        </w:rPr>
        <w:t>性</w:t>
      </w:r>
      <w:r>
        <w:rPr>
          <w:rFonts w:ascii="宋体" w:hAnsi="宋体" w:eastAsia="宋体"/>
          <w:sz w:val="24"/>
          <w:szCs w:val="24"/>
        </w:rPr>
        <w:t>，</w:t>
      </w:r>
      <w:r>
        <w:rPr>
          <w:rFonts w:hint="eastAsia" w:ascii="宋体" w:hAnsi="宋体" w:eastAsia="宋体"/>
          <w:sz w:val="24"/>
          <w:szCs w:val="24"/>
        </w:rPr>
        <w:t>并承诺系统的历史数据不丢失</w:t>
      </w:r>
      <w:r>
        <w:rPr>
          <w:rFonts w:hint="eastAsia" w:ascii="宋体" w:hAnsi="宋体" w:eastAsia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/>
          <w:sz w:val="24"/>
          <w:szCs w:val="24"/>
        </w:rPr>
        <w:t>需提供相应的服务承诺函。</w:t>
      </w:r>
    </w:p>
    <w:p w14:paraId="1FC271B5">
      <w:pPr>
        <w:pStyle w:val="3"/>
        <w:spacing w:line="360" w:lineRule="auto"/>
        <w:rPr>
          <w:rFonts w:hint="default" w:ascii="宋体" w:hAnsi="宋体" w:eastAsia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b/>
          <w:bCs/>
          <w:color w:val="auto"/>
          <w:sz w:val="32"/>
          <w:szCs w:val="32"/>
        </w:rPr>
        <w:t>2.2项目</w:t>
      </w:r>
      <w:r>
        <w:rPr>
          <w:rFonts w:hint="eastAsia" w:ascii="宋体" w:hAnsi="宋体" w:eastAsia="宋体"/>
          <w:b/>
          <w:bCs/>
          <w:color w:val="auto"/>
          <w:sz w:val="32"/>
          <w:szCs w:val="32"/>
          <w:lang w:val="en-US" w:eastAsia="zh-CN"/>
        </w:rPr>
        <w:t>改造需求</w:t>
      </w:r>
    </w:p>
    <w:tbl>
      <w:tblPr>
        <w:tblStyle w:val="17"/>
        <w:tblW w:w="9578" w:type="dxa"/>
        <w:tblInd w:w="-4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789"/>
        <w:gridCol w:w="6919"/>
      </w:tblGrid>
      <w:tr w14:paraId="5E973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pct15" w:color="auto" w:fill="auto"/>
          </w:tcPr>
          <w:p w14:paraId="0246FF7D"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789" w:type="dxa"/>
            <w:shd w:val="pct15" w:color="auto" w:fill="auto"/>
          </w:tcPr>
          <w:p w14:paraId="78C420B8"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服务名称</w:t>
            </w:r>
          </w:p>
        </w:tc>
        <w:tc>
          <w:tcPr>
            <w:tcW w:w="6919" w:type="dxa"/>
            <w:shd w:val="pct15" w:color="auto" w:fill="auto"/>
          </w:tcPr>
          <w:p w14:paraId="17282989">
            <w:pPr>
              <w:spacing w:line="360" w:lineRule="auto"/>
              <w:jc w:val="center"/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改造功能点需求</w:t>
            </w:r>
          </w:p>
        </w:tc>
      </w:tr>
      <w:tr w14:paraId="7D75E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 w14:paraId="6A3B35D3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1789" w:type="dxa"/>
            <w:vMerge w:val="restart"/>
            <w:vAlign w:val="center"/>
          </w:tcPr>
          <w:p w14:paraId="7C8CC76D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HIS系统改造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服务</w:t>
            </w:r>
          </w:p>
        </w:tc>
        <w:tc>
          <w:tcPr>
            <w:tcW w:w="6919" w:type="dxa"/>
            <w:vAlign w:val="center"/>
          </w:tcPr>
          <w:p w14:paraId="3FCB9064">
            <w:pPr>
              <w:spacing w:line="360" w:lineRule="auto"/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为实现中药“一物一码”全流程追溯，需向外部的合作中药厂商提供标准化的药品入库信息数据结构。中药厂商将根据此结构，在药品出厂时生成包含完整产品信息的JSON字符串，并编码为二维码，粘贴于药品最小销售单位的外包装上。医院入库时，通过扫码即可自动解析并完成信息录入。</w:t>
            </w:r>
          </w:p>
        </w:tc>
      </w:tr>
      <w:tr w14:paraId="39FAB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 w14:paraId="2FD292FE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1789" w:type="dxa"/>
            <w:vMerge w:val="continue"/>
            <w:vAlign w:val="center"/>
          </w:tcPr>
          <w:p w14:paraId="3C5DF636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6919" w:type="dxa"/>
            <w:vAlign w:val="center"/>
          </w:tcPr>
          <w:p w14:paraId="7BBB4A95">
            <w:pPr>
              <w:spacing w:line="360" w:lineRule="auto"/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为提升智慧中药房药品入库的效率和准确性，需在现有药库管理系统中新增一个独立的“扫码入库”功能界面。该界面核心是利用扫描枪快速识别中药外包装上的追溯二维码，实现药品信息的自动填充与入库单据的智能创建，在确保效率的同时，通过“人机核对”机制保障数据关联的准确性。</w:t>
            </w:r>
          </w:p>
        </w:tc>
      </w:tr>
      <w:tr w14:paraId="0EC95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 w14:paraId="61C7FB1F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</w:p>
        </w:tc>
        <w:tc>
          <w:tcPr>
            <w:tcW w:w="1789" w:type="dxa"/>
            <w:vMerge w:val="continue"/>
            <w:vAlign w:val="center"/>
          </w:tcPr>
          <w:p w14:paraId="4FF9C39B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6919" w:type="dxa"/>
            <w:vAlign w:val="center"/>
          </w:tcPr>
          <w:p w14:paraId="3BD1E800">
            <w:pPr>
              <w:spacing w:line="360" w:lineRule="auto"/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为每一条药品记录增加一个专用字段，用于持久化存储由中药厂商提供的、与该药品批次或品种相关联的官方追溯信息链接（URL）。此字段将作为药品基础属性的一部分，服务于后续的深度追溯查询与外部系统对接。</w:t>
            </w:r>
          </w:p>
        </w:tc>
      </w:tr>
      <w:tr w14:paraId="1189C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 w14:paraId="289F3925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89" w:type="dxa"/>
            <w:vMerge w:val="restart"/>
            <w:vAlign w:val="center"/>
          </w:tcPr>
          <w:p w14:paraId="0DC5A7AB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互联网医院改造服务</w:t>
            </w:r>
          </w:p>
        </w:tc>
        <w:tc>
          <w:tcPr>
            <w:tcW w:w="6919" w:type="dxa"/>
            <w:vAlign w:val="center"/>
          </w:tcPr>
          <w:p w14:paraId="494E8E32">
            <w:pPr>
              <w:spacing w:line="360" w:lineRule="auto"/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为提升患者服务体验与用药透明度，需在互联网医院平台的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“取药服务”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面向患者的药品信息展示页面中，为每一味中药增加追溯标识与交互功能。当患者查看其处方或待取药品详情时，可通过此功能直接访问该批次药品的全生命周期追溯信息，实现“用药可查，来源可溯”。</w:t>
            </w:r>
          </w:p>
        </w:tc>
      </w:tr>
      <w:tr w14:paraId="67A2E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 w14:paraId="6BC15854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89" w:type="dxa"/>
            <w:vMerge w:val="continue"/>
            <w:vAlign w:val="center"/>
          </w:tcPr>
          <w:p w14:paraId="669F2F50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6919" w:type="dxa"/>
            <w:vAlign w:val="center"/>
          </w:tcPr>
          <w:p w14:paraId="3628F0CF">
            <w:pPr>
              <w:spacing w:line="360" w:lineRule="auto"/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为提升患者服务体验与用药透明度，需在互联网医院平台的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“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医嘱信息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”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面向患者的药品信息展示页面中，为每一味中药增加追溯标识与交互功能。当患者查看其处方或待取药品详情时，可通过此功能直接访问该批次药品的全生命周期追溯信息，实现“用药可查，来源可溯”。</w:t>
            </w:r>
          </w:p>
        </w:tc>
      </w:tr>
      <w:tr w14:paraId="52CDA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 w14:paraId="1E59B7C5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89" w:type="dxa"/>
            <w:vAlign w:val="center"/>
          </w:tcPr>
          <w:p w14:paraId="69AD52A6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配送与追溯</w:t>
            </w:r>
          </w:p>
        </w:tc>
        <w:tc>
          <w:tcPr>
            <w:tcW w:w="6919" w:type="dxa"/>
            <w:vAlign w:val="center"/>
          </w:tcPr>
          <w:p w14:paraId="64F40467">
            <w:pPr>
              <w:spacing w:line="360" w:lineRule="auto"/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对接物流系统，实现配送状态跟踪；</w:t>
            </w:r>
          </w:p>
          <w:p w14:paraId="1F9D4918">
            <w:pPr>
              <w:spacing w:line="360" w:lineRule="auto"/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支持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患者可通过互联网医院平台扫码查询全程流通信息</w:t>
            </w:r>
          </w:p>
        </w:tc>
      </w:tr>
      <w:tr w14:paraId="57467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 w14:paraId="631D5944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89" w:type="dxa"/>
            <w:vAlign w:val="center"/>
          </w:tcPr>
          <w:p w14:paraId="64EC3398">
            <w:pPr>
              <w:spacing w:line="360" w:lineRule="auto"/>
              <w:jc w:val="center"/>
              <w:rPr>
                <w:rStyle w:val="20"/>
                <w:rFonts w:hint="eastAsia" w:ascii="方正公文仿宋" w:hAnsi="方正公文仿宋" w:eastAsia="方正公文仿宋" w:cs="方正公文仿宋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数据决策看板</w:t>
            </w:r>
          </w:p>
        </w:tc>
        <w:tc>
          <w:tcPr>
            <w:tcW w:w="6919" w:type="dxa"/>
            <w:vAlign w:val="center"/>
          </w:tcPr>
          <w:p w14:paraId="5763C808">
            <w:pPr>
              <w:spacing w:line="360" w:lineRule="auto"/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提供全流程关键指标可视化分析（库存周转率、处方量、煎药效率等）；</w:t>
            </w:r>
          </w:p>
          <w:p w14:paraId="0DA0B69F">
            <w:pPr>
              <w:spacing w:line="360" w:lineRule="auto"/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支持报表自动生成与数据导出。</w:t>
            </w:r>
          </w:p>
        </w:tc>
      </w:tr>
      <w:tr w14:paraId="38476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 w14:paraId="6F480E24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789" w:type="dxa"/>
            <w:vAlign w:val="center"/>
          </w:tcPr>
          <w:p w14:paraId="35123E23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数据报表</w:t>
            </w:r>
          </w:p>
        </w:tc>
        <w:tc>
          <w:tcPr>
            <w:tcW w:w="6919" w:type="dxa"/>
            <w:vAlign w:val="center"/>
          </w:tcPr>
          <w:p w14:paraId="0637D75F">
            <w:pPr>
              <w:spacing w:line="360" w:lineRule="auto"/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1.互联网西成药使用情况表</w:t>
            </w:r>
          </w:p>
          <w:p w14:paraId="3D646CC6">
            <w:pPr>
              <w:spacing w:line="360" w:lineRule="auto"/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2.互联网西药成药科室使用情况表</w:t>
            </w:r>
          </w:p>
          <w:p w14:paraId="4E43A75C">
            <w:pPr>
              <w:spacing w:line="360" w:lineRule="auto"/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3.互联网中药使用情况表</w:t>
            </w:r>
          </w:p>
          <w:p w14:paraId="0EFB4758">
            <w:pPr>
              <w:spacing w:line="360" w:lineRule="auto"/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4.互联网</w:t>
            </w: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科室用药监控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表</w:t>
            </w:r>
          </w:p>
          <w:p w14:paraId="0B8F505B">
            <w:pPr>
              <w:spacing w:line="360" w:lineRule="auto"/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5.互联网药品使用金额排名前100表</w:t>
            </w:r>
          </w:p>
          <w:p w14:paraId="5D7B2437">
            <w:pPr>
              <w:spacing w:line="360" w:lineRule="auto"/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6.互联网模版使用统计表</w:t>
            </w:r>
          </w:p>
          <w:p w14:paraId="4D784418">
            <w:pPr>
              <w:spacing w:line="360" w:lineRule="auto"/>
              <w:jc w:val="both"/>
              <w:rPr>
                <w:rFonts w:hint="eastAsia" w:ascii="方正公文仿宋" w:hAnsi="方正公文仿宋" w:eastAsia="方正公文仿宋" w:cs="方正公文仿宋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7.用户分析报表</w:t>
            </w:r>
            <w:bookmarkStart w:id="0" w:name="_GoBack"/>
            <w:bookmarkEnd w:id="0"/>
          </w:p>
        </w:tc>
      </w:tr>
    </w:tbl>
    <w:p w14:paraId="3B12B266">
      <w:pPr>
        <w:pStyle w:val="4"/>
        <w:spacing w:line="360" w:lineRule="auto"/>
        <w:rPr>
          <w:rFonts w:hint="eastAsia" w:ascii="宋体" w:hAnsi="宋体" w:eastAsia="宋体"/>
          <w:b/>
          <w:bCs/>
          <w:color w:val="auto"/>
          <w:sz w:val="30"/>
          <w:szCs w:val="30"/>
        </w:rPr>
      </w:pPr>
      <w:r>
        <w:rPr>
          <w:rFonts w:hint="eastAsia" w:ascii="宋体" w:hAnsi="宋体" w:eastAsia="宋体"/>
          <w:b/>
          <w:bCs/>
          <w:color w:val="auto"/>
          <w:sz w:val="30"/>
          <w:szCs w:val="30"/>
        </w:rPr>
        <w:t>2.</w:t>
      </w:r>
      <w:r>
        <w:rPr>
          <w:rFonts w:hint="eastAsia" w:ascii="宋体" w:hAnsi="宋体" w:eastAsia="宋体"/>
          <w:b/>
          <w:bCs/>
          <w:color w:val="auto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/>
          <w:b/>
          <w:bCs/>
          <w:color w:val="auto"/>
          <w:sz w:val="30"/>
          <w:szCs w:val="30"/>
        </w:rPr>
        <w:t>.1交货要求</w:t>
      </w:r>
    </w:p>
    <w:p w14:paraId="5752D908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软件交货期的要求：签订合同后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12</w:t>
      </w:r>
      <w:r>
        <w:rPr>
          <w:rFonts w:ascii="宋体" w:hAnsi="宋体" w:eastAsia="宋体"/>
          <w:sz w:val="24"/>
          <w:szCs w:val="24"/>
        </w:rPr>
        <w:t>0</w:t>
      </w:r>
      <w:r>
        <w:rPr>
          <w:rFonts w:hint="eastAsia" w:ascii="宋体" w:hAnsi="宋体" w:eastAsia="宋体"/>
          <w:sz w:val="24"/>
          <w:szCs w:val="24"/>
        </w:rPr>
        <w:t xml:space="preserve"> 天（日历日）内。</w:t>
      </w:r>
    </w:p>
    <w:p w14:paraId="205CE9EA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投标人必须承担的设备运输、安装调试等其他类似的义务。</w:t>
      </w:r>
    </w:p>
    <w:p w14:paraId="786A6AB3">
      <w:pPr>
        <w:pStyle w:val="4"/>
        <w:spacing w:line="360" w:lineRule="auto"/>
        <w:rPr>
          <w:rFonts w:hint="eastAsia" w:ascii="宋体" w:hAnsi="宋体" w:eastAsia="宋体"/>
          <w:b/>
          <w:bCs/>
          <w:color w:val="auto"/>
          <w:sz w:val="30"/>
          <w:szCs w:val="30"/>
        </w:rPr>
      </w:pPr>
      <w:r>
        <w:rPr>
          <w:rFonts w:hint="eastAsia" w:ascii="宋体" w:hAnsi="宋体" w:eastAsia="宋体"/>
          <w:b/>
          <w:bCs/>
          <w:color w:val="auto"/>
          <w:sz w:val="30"/>
          <w:szCs w:val="30"/>
        </w:rPr>
        <w:t>2.</w:t>
      </w:r>
      <w:r>
        <w:rPr>
          <w:rFonts w:hint="eastAsia" w:ascii="宋体" w:hAnsi="宋体" w:eastAsia="宋体"/>
          <w:b/>
          <w:bCs/>
          <w:color w:val="auto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/>
          <w:b/>
          <w:bCs/>
          <w:color w:val="auto"/>
          <w:sz w:val="30"/>
          <w:szCs w:val="30"/>
        </w:rPr>
        <w:t>.2售后服务要求</w:t>
      </w:r>
    </w:p>
    <w:p w14:paraId="4D527E54">
      <w:pPr>
        <w:numPr>
          <w:ilvl w:val="0"/>
          <w:numId w:val="1"/>
        </w:numPr>
        <w:ind w:firstLine="48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t xml:space="preserve">软件免费保修期 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/>
          <w:sz w:val="24"/>
          <w:szCs w:val="24"/>
        </w:rPr>
        <w:t>年，时间自项目验收之日起计算。在保修期内，一旦发生问题，投标人保证在接到通知24小时内进行处理。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维保期结束后维保费用不超合同总价7%。 </w:t>
      </w:r>
    </w:p>
    <w:p w14:paraId="3259CCB4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</w:p>
    <w:p w14:paraId="145262BD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投标人应按其投标文件中的承诺，进行其他售后服务工作。</w:t>
      </w:r>
    </w:p>
    <w:p w14:paraId="6567EB75">
      <w:pPr>
        <w:pStyle w:val="4"/>
        <w:spacing w:line="360" w:lineRule="auto"/>
        <w:rPr>
          <w:rFonts w:hint="eastAsia" w:ascii="宋体" w:hAnsi="宋体" w:eastAsia="宋体"/>
          <w:b/>
          <w:bCs/>
          <w:color w:val="auto"/>
          <w:sz w:val="30"/>
          <w:szCs w:val="30"/>
        </w:rPr>
      </w:pPr>
      <w:r>
        <w:rPr>
          <w:rFonts w:hint="eastAsia" w:ascii="宋体" w:hAnsi="宋体" w:eastAsia="宋体"/>
          <w:b/>
          <w:bCs/>
          <w:color w:val="auto"/>
          <w:sz w:val="30"/>
          <w:szCs w:val="30"/>
        </w:rPr>
        <w:t>2.</w:t>
      </w:r>
      <w:r>
        <w:rPr>
          <w:rFonts w:hint="eastAsia" w:ascii="宋体" w:hAnsi="宋体" w:eastAsia="宋体"/>
          <w:b/>
          <w:bCs/>
          <w:color w:val="auto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/>
          <w:b/>
          <w:bCs/>
          <w:color w:val="auto"/>
          <w:sz w:val="30"/>
          <w:szCs w:val="30"/>
        </w:rPr>
        <w:t>.3验收要求</w:t>
      </w:r>
    </w:p>
    <w:p w14:paraId="5EC0C756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由投标人代表和采购人组成验收小组对产品进行验收。经检验符合技术要求，无故障后，采购人才做最终验收，验收完毕后，一致签署验收报告。</w:t>
      </w:r>
    </w:p>
    <w:p w14:paraId="12BE526E">
      <w:pPr>
        <w:pStyle w:val="4"/>
        <w:spacing w:line="360" w:lineRule="auto"/>
        <w:rPr>
          <w:rFonts w:hint="eastAsia" w:ascii="宋体" w:hAnsi="宋体" w:eastAsia="宋体"/>
          <w:b/>
          <w:bCs/>
          <w:color w:val="auto"/>
          <w:sz w:val="30"/>
          <w:szCs w:val="30"/>
        </w:rPr>
      </w:pPr>
      <w:r>
        <w:rPr>
          <w:rFonts w:hint="eastAsia" w:ascii="宋体" w:hAnsi="宋体" w:eastAsia="宋体"/>
          <w:b/>
          <w:bCs/>
          <w:color w:val="auto"/>
          <w:sz w:val="30"/>
          <w:szCs w:val="30"/>
        </w:rPr>
        <w:t>2.5.3付款要求</w:t>
      </w:r>
    </w:p>
    <w:p w14:paraId="4C4577C9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合同签订后，采购人向供应商支付合同总额的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/>
          <w:sz w:val="24"/>
          <w:szCs w:val="24"/>
        </w:rPr>
        <w:t>0%；待项目验收合格后采购人向供应商支付合同总额的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/>
          <w:sz w:val="24"/>
          <w:szCs w:val="24"/>
        </w:rPr>
        <w:t>0%。</w:t>
      </w:r>
    </w:p>
    <w:p w14:paraId="5F4B0861">
      <w:pPr>
        <w:widowControl/>
        <w:jc w:val="left"/>
        <w:rPr>
          <w:rFonts w:hint="eastAsia" w:ascii="宋体" w:hAnsi="宋体" w:eastAsia="宋体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5D93F4AF-0A52-426D-A996-84F10A94815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08458212"/>
      <w:docPartObj>
        <w:docPartGallery w:val="autotext"/>
      </w:docPartObj>
    </w:sdtPr>
    <w:sdtEndPr>
      <w:rPr>
        <w:rFonts w:ascii="宋体" w:hAnsi="宋体" w:eastAsia="宋体"/>
      </w:rPr>
    </w:sdtEndPr>
    <w:sdtContent>
      <w:p w14:paraId="57DF580E">
        <w:pPr>
          <w:pStyle w:val="13"/>
          <w:jc w:val="center"/>
          <w:rPr>
            <w:rFonts w:hint="eastAsia" w:ascii="宋体" w:hAnsi="宋体" w:eastAsia="宋体"/>
          </w:rPr>
        </w:pPr>
        <w:r>
          <w:rPr>
            <w:rFonts w:ascii="宋体" w:hAnsi="宋体" w:eastAsia="宋体"/>
          </w:rPr>
          <w:fldChar w:fldCharType="begin"/>
        </w:r>
        <w:r>
          <w:rPr>
            <w:rFonts w:ascii="宋体" w:hAnsi="宋体" w:eastAsia="宋体"/>
          </w:rPr>
          <w:instrText xml:space="preserve">PAGE   \* MERGEFORMAT</w:instrText>
        </w:r>
        <w:r>
          <w:rPr>
            <w:rFonts w:ascii="宋体" w:hAnsi="宋体" w:eastAsia="宋体"/>
          </w:rPr>
          <w:fldChar w:fldCharType="separate"/>
        </w:r>
        <w:r>
          <w:rPr>
            <w:rFonts w:ascii="宋体" w:hAnsi="宋体" w:eastAsia="宋体"/>
            <w:lang w:val="zh-CN"/>
          </w:rPr>
          <w:t>2</w:t>
        </w:r>
        <w:r>
          <w:rPr>
            <w:rFonts w:ascii="宋体" w:hAnsi="宋体" w:eastAsia="宋体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E1E4DE"/>
    <w:multiLevelType w:val="singleLevel"/>
    <w:tmpl w:val="5AE1E4DE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3A8"/>
    <w:rsid w:val="000A3157"/>
    <w:rsid w:val="000D7FB1"/>
    <w:rsid w:val="001F1A2E"/>
    <w:rsid w:val="003340BE"/>
    <w:rsid w:val="0036357A"/>
    <w:rsid w:val="0047544C"/>
    <w:rsid w:val="00512E49"/>
    <w:rsid w:val="00564557"/>
    <w:rsid w:val="0058065B"/>
    <w:rsid w:val="00626E5A"/>
    <w:rsid w:val="00684793"/>
    <w:rsid w:val="00692F38"/>
    <w:rsid w:val="006F49FD"/>
    <w:rsid w:val="00743662"/>
    <w:rsid w:val="0080701C"/>
    <w:rsid w:val="00810E5E"/>
    <w:rsid w:val="00863DDE"/>
    <w:rsid w:val="008740AB"/>
    <w:rsid w:val="00876A9D"/>
    <w:rsid w:val="008D4B02"/>
    <w:rsid w:val="008E69D2"/>
    <w:rsid w:val="008F4ADD"/>
    <w:rsid w:val="009013A8"/>
    <w:rsid w:val="00933D5A"/>
    <w:rsid w:val="009B0235"/>
    <w:rsid w:val="00A20FC6"/>
    <w:rsid w:val="00A25576"/>
    <w:rsid w:val="00A32DBB"/>
    <w:rsid w:val="00A34427"/>
    <w:rsid w:val="00A455C1"/>
    <w:rsid w:val="00A8691E"/>
    <w:rsid w:val="00AB10C1"/>
    <w:rsid w:val="00AB4228"/>
    <w:rsid w:val="00AE7563"/>
    <w:rsid w:val="00AF3928"/>
    <w:rsid w:val="00B10FBA"/>
    <w:rsid w:val="00B35BFF"/>
    <w:rsid w:val="00B63256"/>
    <w:rsid w:val="00B75BE8"/>
    <w:rsid w:val="00B9226B"/>
    <w:rsid w:val="00BA2947"/>
    <w:rsid w:val="00BD12D9"/>
    <w:rsid w:val="00BE100E"/>
    <w:rsid w:val="00BF79E9"/>
    <w:rsid w:val="00C6532E"/>
    <w:rsid w:val="00CB5D26"/>
    <w:rsid w:val="00D0286C"/>
    <w:rsid w:val="00DC3469"/>
    <w:rsid w:val="00E32F14"/>
    <w:rsid w:val="00E90EB5"/>
    <w:rsid w:val="00ED37CA"/>
    <w:rsid w:val="00EE5F6A"/>
    <w:rsid w:val="00EE7EF3"/>
    <w:rsid w:val="00F221A9"/>
    <w:rsid w:val="00F448A1"/>
    <w:rsid w:val="00F6483B"/>
    <w:rsid w:val="00F926BA"/>
    <w:rsid w:val="00FD276D"/>
    <w:rsid w:val="16076D94"/>
    <w:rsid w:val="160D26F5"/>
    <w:rsid w:val="372D417A"/>
    <w:rsid w:val="39714F39"/>
    <w:rsid w:val="46A43759"/>
    <w:rsid w:val="4E661F63"/>
    <w:rsid w:val="503E72F5"/>
    <w:rsid w:val="57B95961"/>
    <w:rsid w:val="660A5ADC"/>
    <w:rsid w:val="74F64EC3"/>
    <w:rsid w:val="76566BD9"/>
    <w:rsid w:val="7F2C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7"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5"/>
    <w:semiHidden/>
    <w:qFormat/>
    <w:uiPriority w:val="99"/>
    <w:pPr>
      <w:autoSpaceDE w:val="0"/>
      <w:autoSpaceDN w:val="0"/>
      <w:adjustRightInd w:val="0"/>
      <w:jc w:val="left"/>
      <w:textAlignment w:val="baseline"/>
    </w:pPr>
    <w:rPr>
      <w:rFonts w:ascii="宋体" w:hAnsi="Calibri" w:eastAsia="宋体" w:cs="Times New Roman"/>
      <w:kern w:val="0"/>
      <w:sz w:val="34"/>
      <w:szCs w:val="20"/>
    </w:rPr>
  </w:style>
  <w:style w:type="paragraph" w:styleId="12">
    <w:name w:val="Body Text"/>
    <w:basedOn w:val="1"/>
    <w:link w:val="42"/>
    <w:qFormat/>
    <w:uiPriority w:val="0"/>
    <w:pPr>
      <w:spacing w:after="120"/>
    </w:pPr>
    <w:rPr>
      <w:rFonts w:ascii="Calibri" w:hAnsi="Calibri" w:eastAsia="宋体" w:cs="Times New Roman"/>
      <w:szCs w:val="24"/>
    </w:rPr>
  </w:style>
  <w:style w:type="paragraph" w:styleId="13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2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3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8">
    <w:name w:val="Table Grid"/>
    <w:basedOn w:val="1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0"/>
    <w:rPr>
      <w:b/>
    </w:rPr>
  </w:style>
  <w:style w:type="character" w:styleId="21">
    <w:name w:val="annotation reference"/>
    <w:basedOn w:val="19"/>
    <w:qFormat/>
    <w:uiPriority w:val="0"/>
    <w:rPr>
      <w:sz w:val="21"/>
      <w:szCs w:val="21"/>
    </w:rPr>
  </w:style>
  <w:style w:type="character" w:customStyle="1" w:styleId="22">
    <w:name w:val="标题 1 字符"/>
    <w:basedOn w:val="19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3">
    <w:name w:val="标题 2 字符"/>
    <w:basedOn w:val="19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4">
    <w:name w:val="标题 3 字符"/>
    <w:basedOn w:val="19"/>
    <w:link w:val="4"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5">
    <w:name w:val="标题 4 字符"/>
    <w:basedOn w:val="19"/>
    <w:link w:val="5"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6">
    <w:name w:val="标题 5 字符"/>
    <w:basedOn w:val="19"/>
    <w:link w:val="6"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7">
    <w:name w:val="标题 6 字符"/>
    <w:basedOn w:val="19"/>
    <w:link w:val="7"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8">
    <w:name w:val="标题 7 字符"/>
    <w:basedOn w:val="19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19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19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19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19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Intense Emphasis"/>
    <w:basedOn w:val="19"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8">
    <w:name w:val="明显引用 字符"/>
    <w:basedOn w:val="19"/>
    <w:link w:val="37"/>
    <w:qFormat/>
    <w:uiPriority w:val="30"/>
    <w:rPr>
      <w:i/>
      <w:iCs/>
      <w:color w:val="104862" w:themeColor="accent1" w:themeShade="BF"/>
    </w:rPr>
  </w:style>
  <w:style w:type="character" w:customStyle="1" w:styleId="39">
    <w:name w:val="Intense Reference"/>
    <w:basedOn w:val="19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0">
    <w:name w:val="页眉 字符"/>
    <w:basedOn w:val="19"/>
    <w:link w:val="14"/>
    <w:qFormat/>
    <w:uiPriority w:val="99"/>
    <w:rPr>
      <w:sz w:val="18"/>
      <w:szCs w:val="18"/>
    </w:rPr>
  </w:style>
  <w:style w:type="character" w:customStyle="1" w:styleId="41">
    <w:name w:val="页脚 字符"/>
    <w:basedOn w:val="19"/>
    <w:link w:val="13"/>
    <w:qFormat/>
    <w:uiPriority w:val="99"/>
    <w:rPr>
      <w:sz w:val="18"/>
      <w:szCs w:val="18"/>
    </w:rPr>
  </w:style>
  <w:style w:type="character" w:customStyle="1" w:styleId="42">
    <w:name w:val="正文文本 字符"/>
    <w:basedOn w:val="19"/>
    <w:link w:val="12"/>
    <w:qFormat/>
    <w:uiPriority w:val="0"/>
    <w:rPr>
      <w:rFonts w:ascii="Calibri" w:hAnsi="Calibri" w:eastAsia="宋体" w:cs="Times New Roman"/>
      <w:szCs w:val="24"/>
    </w:rPr>
  </w:style>
  <w:style w:type="paragraph" w:customStyle="1" w:styleId="43">
    <w:name w:val="Table Paragraph"/>
    <w:basedOn w:val="1"/>
    <w:qFormat/>
    <w:uiPriority w:val="1"/>
    <w:pPr>
      <w:spacing w:before="38"/>
      <w:jc w:val="center"/>
    </w:pPr>
    <w:rPr>
      <w:rFonts w:ascii="Times New Roman" w:hAnsi="Times New Roman" w:eastAsia="宋体" w:cs="Times New Roman"/>
      <w:szCs w:val="24"/>
    </w:rPr>
  </w:style>
  <w:style w:type="paragraph" w:customStyle="1" w:styleId="44">
    <w:name w:val="_Style 40"/>
    <w:basedOn w:val="1"/>
    <w:next w:val="35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character" w:customStyle="1" w:styleId="45">
    <w:name w:val="批注文字 字符"/>
    <w:basedOn w:val="19"/>
    <w:link w:val="11"/>
    <w:semiHidden/>
    <w:qFormat/>
    <w:uiPriority w:val="99"/>
    <w:rPr>
      <w:rFonts w:ascii="宋体" w:hAnsi="Calibri" w:eastAsia="宋体" w:cs="Times New Roman"/>
      <w:kern w:val="0"/>
      <w:sz w:val="3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2062</Words>
  <Characters>2135</Characters>
  <Lines>277</Lines>
  <Paragraphs>78</Paragraphs>
  <TotalTime>0</TotalTime>
  <ScaleCrop>false</ScaleCrop>
  <LinksUpToDate>false</LinksUpToDate>
  <CharactersWithSpaces>2139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2025-12-18T01:24:00Z</dcterms:created>
  <dc:creator>志恒 欧</dc:creator>
  <cp:lastModifiedBy>孟伶俊</cp:lastModifiedBy>
  <dcterms:modified xsi:type="dcterms:W3CDTF">2026-08-18T08:54:55Z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eyJoZGlkIjoiZTA2ZmFjM2M0Mjc5ZWNiY2YyNmI4NmY2MGJkODZkYTAiLCJ1c2VySWQiOiI0MjE4NTY3MjkifQ==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DCE3FAAB9601425DAF6191DD02247CB8_13</vt:lpwstr>
  </property>
</Properties>
</file>